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60" w:lineRule="exact"/>
        <w:jc w:val="center"/>
        <w:rPr>
          <w:rFonts w:ascii="Times New Roman" w:hAnsi="Times New Roman" w:eastAsia="方正小标宋简体" w:cs="Times New Roman"/>
          <w:bCs/>
          <w:sz w:val="36"/>
          <w:szCs w:val="36"/>
        </w:rPr>
      </w:pP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各设区市防汛防台检查重点内容清单</w:t>
      </w:r>
    </w:p>
    <w:p>
      <w:pPr>
        <w:spacing w:line="560" w:lineRule="exact"/>
        <w:ind w:firstLine="720" w:firstLineChars="200"/>
        <w:rPr>
          <w:rFonts w:ascii="Times New Roman" w:hAnsi="Times New Roman" w:eastAsia="黑体" w:cs="Times New Roman"/>
          <w:bCs/>
          <w:sz w:val="36"/>
          <w:szCs w:val="36"/>
        </w:rPr>
      </w:pPr>
    </w:p>
    <w:p>
      <w:pPr>
        <w:spacing w:line="560" w:lineRule="exact"/>
        <w:ind w:firstLine="643" w:firstLineChars="200"/>
        <w:rPr>
          <w:rFonts w:ascii="Times New Roman" w:hAnsi="Times New Roman" w:eastAsia="黑体" w:cs="Times New Roman"/>
          <w:sz w:val="32"/>
          <w:szCs w:val="32"/>
        </w:rPr>
      </w:pPr>
      <w:r>
        <w:rPr>
          <w:rFonts w:ascii="Times New Roman" w:hAnsi="Times New Roman" w:eastAsia="黑体" w:cs="Times New Roman"/>
          <w:b/>
          <w:sz w:val="32"/>
          <w:szCs w:val="32"/>
        </w:rPr>
        <w:t>杭州市：</w:t>
      </w:r>
      <w:r>
        <w:rPr>
          <w:rFonts w:hint="eastAsia" w:ascii="宋体" w:hAnsi="宋体" w:eastAsia="宋体" w:cs="宋体"/>
          <w:b/>
          <w:sz w:val="32"/>
          <w:szCs w:val="32"/>
        </w:rPr>
        <w:t>①</w:t>
      </w:r>
      <w:r>
        <w:rPr>
          <w:rFonts w:ascii="Times New Roman" w:hAnsi="Times New Roman" w:eastAsia="仿宋_GB2312" w:cs="Times New Roman"/>
          <w:b/>
          <w:bCs/>
          <w:sz w:val="32"/>
          <w:szCs w:val="32"/>
        </w:rPr>
        <w:t>东苕溪西险大塘流域性洪水防范。</w:t>
      </w:r>
      <w:r>
        <w:rPr>
          <w:rFonts w:ascii="Times New Roman" w:hAnsi="Times New Roman" w:eastAsia="仿宋_GB2312" w:cs="Times New Roman"/>
          <w:sz w:val="32"/>
          <w:szCs w:val="32"/>
        </w:rPr>
        <w:t>东苕溪右岸西险大塘是保护杭州市城市防洪安全的屏障，在永建、潘板等非常滞洪区启用的条件下，防洪标准才达到100年一遇，重点检查永建、潘板等非常滞洪区分洪实施方案、上南湖非常蓄滞洪区替代方案落实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城市易涝防范</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14:textFill>
            <w14:solidFill>
              <w14:schemeClr w14:val="tx1"/>
            </w14:solidFill>
          </w14:textFill>
        </w:rPr>
        <w:t>部分老城区地势低洼、排涝能力不足，而随着近几年城市建设扩大，一些</w:t>
      </w:r>
      <w:r>
        <w:rPr>
          <w:rFonts w:ascii="Times New Roman" w:hAnsi="Times New Roman" w:eastAsia="仿宋_GB2312" w:cs="Times New Roman"/>
          <w:sz w:val="32"/>
          <w:szCs w:val="32"/>
        </w:rPr>
        <w:t>地铁施工区域、</w:t>
      </w:r>
      <w:r>
        <w:rPr>
          <w:rFonts w:ascii="Times New Roman" w:hAnsi="Times New Roman" w:eastAsia="仿宋_GB2312" w:cs="Times New Roman"/>
          <w:color w:val="000000" w:themeColor="text1"/>
          <w:sz w:val="32"/>
          <w:szCs w:val="32"/>
          <w14:textFill>
            <w14:solidFill>
              <w14:schemeClr w14:val="tx1"/>
            </w14:solidFill>
          </w14:textFill>
        </w:rPr>
        <w:t>以及位于传统易淹易涝区的未来科技城、钱江世纪城等一些新建城区</w:t>
      </w:r>
      <w:r>
        <w:rPr>
          <w:rFonts w:ascii="Times New Roman" w:hAnsi="Times New Roman" w:eastAsia="仿宋_GB2312" w:cs="Times New Roman"/>
          <w:sz w:val="32"/>
          <w:szCs w:val="32"/>
        </w:rPr>
        <w:t>内涝问题更为突出</w:t>
      </w:r>
      <w:r>
        <w:rPr>
          <w:rFonts w:ascii="Times New Roman" w:hAnsi="Times New Roman" w:eastAsia="仿宋_GB2312" w:cs="Times New Roman"/>
          <w:color w:val="000000" w:themeColor="text1"/>
          <w:sz w:val="32"/>
          <w:szCs w:val="32"/>
          <w14:textFill>
            <w14:solidFill>
              <w14:schemeClr w14:val="tx1"/>
            </w14:solidFill>
          </w14:textFill>
        </w:rPr>
        <w:t>，重点检查排水管网、强排泵站、强排泵车等设施装备配备情况。</w:t>
      </w:r>
      <w:r>
        <w:rPr>
          <w:rFonts w:hint="eastAsia" w:ascii="宋体" w:hAnsi="宋体" w:eastAsia="宋体" w:cs="宋体"/>
          <w:b/>
          <w:bCs/>
          <w:sz w:val="32"/>
          <w:szCs w:val="32"/>
        </w:rPr>
        <w:t>③</w:t>
      </w:r>
      <w:r>
        <w:rPr>
          <w:rFonts w:ascii="Times New Roman" w:hAnsi="Times New Roman" w:eastAsia="仿宋_GB2312" w:cs="Times New Roman"/>
          <w:b/>
          <w:bCs/>
          <w:sz w:val="32"/>
          <w:szCs w:val="32"/>
        </w:rPr>
        <w:t>西南山区山洪地质灾害防范</w:t>
      </w:r>
      <w:r>
        <w:rPr>
          <w:rFonts w:ascii="Times New Roman" w:hAnsi="Times New Roman" w:eastAsia="仿宋_GB2312" w:cs="Times New Roman"/>
          <w:sz w:val="32"/>
          <w:szCs w:val="32"/>
        </w:rPr>
        <w:t>。全市现有山洪灾害防御重要村落2267个、地质灾害隐患点148个、地质灾害风险防范区3103处，特别是临安、淳安、建德等地易遭受短时强降雨袭击，引发小流域山洪和地质灾害。重点检查风险区责任人知责于心和监测预警、巡查等管控措施落实和能否熟练操作“掌上应急”情况。</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黑体" w:cs="Times New Roman"/>
          <w:b/>
          <w:bCs/>
          <w:sz w:val="32"/>
          <w:szCs w:val="32"/>
        </w:rPr>
        <w:t>宁波市：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甬江流域外洪内涝防范。</w:t>
      </w:r>
      <w:r>
        <w:rPr>
          <w:rFonts w:ascii="Times New Roman" w:hAnsi="Times New Roman" w:eastAsia="仿宋_GB2312" w:cs="Times New Roman"/>
          <w:sz w:val="32"/>
          <w:szCs w:val="32"/>
        </w:rPr>
        <w:t>甬江中上游洪水集流快，河口受潮水顶托，排水不畅，台风期平原地区常受淹，特别是地处姚江中游的余姚市排水路径长，排水更为困难。宁波市近几年强排工程建设取得明显进展，但排涝能力未经受过强台风大洪水考验，重点检查甬江流域防御洪水方案、强排泵站有序调度启用方案制订落实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西南部山区山洪地质灾害防范。</w:t>
      </w:r>
      <w:r>
        <w:rPr>
          <w:rFonts w:ascii="Times New Roman" w:hAnsi="Times New Roman" w:eastAsia="仿宋_GB2312" w:cs="Times New Roman"/>
          <w:sz w:val="32"/>
          <w:szCs w:val="32"/>
        </w:rPr>
        <w:t>全市现有山洪灾害防御重要村落798个，地质灾害隐患点36个，地质灾害风险防范区825处，主要分布余姚、海曙、奉化、宁海等地，其所在的四明山区、天台山区都是我省暴雨中心，重点检查风险区责任人知责于心和监测预警、巡查等管控措施落实和能否熟练操作“掌上应急”情况。</w:t>
      </w:r>
      <w:r>
        <w:rPr>
          <w:rFonts w:hint="eastAsia" w:ascii="宋体" w:hAnsi="宋体" w:eastAsia="宋体" w:cs="宋体"/>
          <w:b/>
          <w:bCs/>
          <w:sz w:val="32"/>
          <w:szCs w:val="32"/>
        </w:rPr>
        <w:t>③</w:t>
      </w:r>
      <w:r>
        <w:rPr>
          <w:rFonts w:ascii="Times New Roman" w:hAnsi="Times New Roman" w:eastAsia="仿宋_GB2312" w:cs="Times New Roman"/>
          <w:b/>
          <w:bCs/>
          <w:sz w:val="32"/>
          <w:szCs w:val="32"/>
        </w:rPr>
        <w:t>局部地区易发生干旱防范。</w:t>
      </w:r>
      <w:r>
        <w:rPr>
          <w:rFonts w:ascii="Times New Roman" w:hAnsi="Times New Roman" w:eastAsia="仿宋_GB2312" w:cs="Times New Roman"/>
          <w:sz w:val="32"/>
          <w:szCs w:val="32"/>
        </w:rPr>
        <w:t>象山县、鄞州的大嵩片域内供水以中小型水库供水为主，一旦汛期降雨不足，易发生冬春干旱，重点检查跨区域引调水、河库联合调度方案制订落实、浙东引水工程向舟山供水保障工作。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bCs/>
          <w:sz w:val="32"/>
          <w:szCs w:val="32"/>
        </w:rPr>
        <w:t>温州市：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瓯江支流楠溪江、鳌江流域性洪水防御。</w:t>
      </w:r>
      <w:r>
        <w:rPr>
          <w:rFonts w:ascii="Times New Roman" w:hAnsi="Times New Roman" w:eastAsia="仿宋_GB2312" w:cs="Times New Roman"/>
          <w:sz w:val="32"/>
          <w:szCs w:val="32"/>
        </w:rPr>
        <w:t>瓯江支流楠溪江上的永嘉县南岸水库未开工建设，鳌江干流难以建设骨干防洪水库，永嘉县楠溪江干流和平阳、苍南两县鳌江干流防洪标准不高，重点检查楠溪江、鳌江流域性洪水防御方案制订和落实情况。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小流域山洪和地质灾害防范。</w:t>
      </w:r>
      <w:r>
        <w:rPr>
          <w:rFonts w:ascii="Times New Roman" w:hAnsi="Times New Roman" w:eastAsia="仿宋_GB2312" w:cs="Times New Roman"/>
          <w:sz w:val="32"/>
          <w:szCs w:val="32"/>
        </w:rPr>
        <w:t>温州市常遭受台风正面袭击，特别是乐清、永嘉、文成、泰顺等地，遭遇强降雨极易引发小流域山洪和地质灾害。全市现有山洪灾害防御重要村落2547个、地质灾害隐患点207个、地质灾害风险防范区1294处，重点检查风险区责任人知责于心和监测预警、巡查等管控措施落实情况。</w:t>
      </w:r>
      <w:r>
        <w:rPr>
          <w:rFonts w:hint="eastAsia" w:ascii="宋体" w:hAnsi="宋体" w:eastAsia="宋体" w:cs="宋体"/>
          <w:b/>
          <w:bCs/>
          <w:sz w:val="32"/>
          <w:szCs w:val="32"/>
        </w:rPr>
        <w:t>③</w:t>
      </w:r>
      <w:r>
        <w:rPr>
          <w:rFonts w:ascii="Times New Roman" w:hAnsi="Times New Roman" w:eastAsia="仿宋_GB2312" w:cs="Times New Roman"/>
          <w:b/>
          <w:bCs/>
          <w:sz w:val="32"/>
          <w:szCs w:val="32"/>
        </w:rPr>
        <w:t>基层应对极端灾害能力建设</w:t>
      </w:r>
      <w:r>
        <w:rPr>
          <w:rFonts w:ascii="Times New Roman" w:hAnsi="Times New Roman" w:eastAsia="仿宋_GB2312" w:cs="Times New Roman"/>
          <w:sz w:val="32"/>
          <w:szCs w:val="32"/>
        </w:rPr>
        <w:t>。重点检查镇、村两级在应对重大自然灾害特别是断电、断交通等极端情况时，基层自救互救能力准备情况包括村级防汛形势图编制，抽查基层防汛责任人特别是人员转移责任的知责于心和能否熟练操作“掌上应急”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bCs/>
          <w:sz w:val="32"/>
          <w:szCs w:val="32"/>
        </w:rPr>
        <w:t>湖州市：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西苕溪流域性洪水防御。</w:t>
      </w:r>
      <w:r>
        <w:rPr>
          <w:rFonts w:ascii="Times New Roman" w:hAnsi="Times New Roman" w:eastAsia="仿宋_GB2312" w:cs="Times New Roman"/>
          <w:sz w:val="32"/>
          <w:szCs w:val="32"/>
        </w:rPr>
        <w:t>西苕溪山区面积大，下游易受太湖高水位顶托，规划拟建的长兴分洪道（分洪过流能力300立方米/秒）、晓墅港分支、浑泥港、潘店港等支流治理工程未完成系统整治，干流下游过流能力较上游低，重点检查防御洪水方案制订落实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环湖大堤加固及长兴平原内涝防范。</w:t>
      </w:r>
      <w:r>
        <w:rPr>
          <w:rFonts w:ascii="Times New Roman" w:hAnsi="Times New Roman" w:eastAsia="仿宋_GB2312" w:cs="Times New Roman"/>
          <w:sz w:val="32"/>
          <w:szCs w:val="32"/>
        </w:rPr>
        <w:t>长兴境内的环湖大堤西段尚未按照设防标准完成加固，长兴平原地势低洼，圩区受太湖高水位顶托或遇强降雨影响容易受淹，重点检查内涝防范方案制订落实情况。</w:t>
      </w:r>
      <w:r>
        <w:rPr>
          <w:rFonts w:hint="eastAsia" w:ascii="宋体" w:hAnsi="宋体" w:eastAsia="宋体" w:cs="宋体"/>
          <w:b/>
          <w:bCs/>
          <w:sz w:val="32"/>
          <w:szCs w:val="32"/>
        </w:rPr>
        <w:t>③</w:t>
      </w:r>
      <w:r>
        <w:rPr>
          <w:rFonts w:ascii="Times New Roman" w:hAnsi="Times New Roman" w:eastAsia="仿宋_GB2312" w:cs="Times New Roman"/>
          <w:b/>
          <w:bCs/>
          <w:sz w:val="32"/>
          <w:szCs w:val="32"/>
        </w:rPr>
        <w:t>小流域山洪与地质灾害多发，安吉、德清等地外来旅游休闲人员的避险转移。</w:t>
      </w:r>
      <w:r>
        <w:rPr>
          <w:rFonts w:ascii="Times New Roman" w:hAnsi="Times New Roman" w:eastAsia="仿宋_GB2312" w:cs="Times New Roman"/>
          <w:sz w:val="32"/>
          <w:szCs w:val="32"/>
        </w:rPr>
        <w:t>南部天目山区是全省暴雨中心之一，也是乡村休闲旅游的热点地区。全市现有山洪灾害防御重要村落828个、地质灾害隐患点19个、地质灾害风险防范区197处，安吉、德清等地小流域山洪灾害防御任务重、难度大，外来旅游休闲人员多，重点检查农家乐、“洋家乐”等的人员转移避险方案制订落实、抽查基层防汛责任人特别是人员转移责任的知责于心情况。</w:t>
      </w:r>
      <w:r>
        <w:rPr>
          <w:rFonts w:hint="eastAsia" w:ascii="宋体" w:hAnsi="宋体" w:eastAsia="宋体" w:cs="宋体"/>
          <w:b/>
          <w:bCs/>
          <w:sz w:val="32"/>
          <w:szCs w:val="32"/>
        </w:rPr>
        <w:t>④</w:t>
      </w:r>
      <w:r>
        <w:rPr>
          <w:rFonts w:ascii="Times New Roman" w:hAnsi="Times New Roman" w:eastAsia="仿宋_GB2312" w:cs="Times New Roman"/>
          <w:b/>
          <w:bCs/>
          <w:sz w:val="32"/>
          <w:szCs w:val="32"/>
        </w:rPr>
        <w:t>市、县级防汛防台能力</w:t>
      </w:r>
      <w:r>
        <w:rPr>
          <w:rFonts w:ascii="Times New Roman" w:hAnsi="Times New Roman" w:eastAsia="仿宋_GB2312" w:cs="Times New Roman"/>
          <w:sz w:val="32"/>
          <w:szCs w:val="32"/>
        </w:rPr>
        <w:t>。重点检查市、县两级防汛防台力量，数字化精密智控水平和基层防汛责任人能否熟练操作“掌上应急”情况。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bCs/>
          <w:sz w:val="32"/>
          <w:szCs w:val="32"/>
        </w:rPr>
        <w:t>嘉兴市：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杭嘉湖南排工程能力。</w:t>
      </w:r>
      <w:r>
        <w:rPr>
          <w:rFonts w:ascii="Times New Roman" w:hAnsi="Times New Roman" w:eastAsia="仿宋_GB2312" w:cs="Times New Roman"/>
          <w:sz w:val="32"/>
          <w:szCs w:val="32"/>
        </w:rPr>
        <w:t>嘉兴市外排涝水主要依靠杭嘉湖南排工程，但目前杭嘉湖南排工程能力特别是强排能力尚不足。当苕溪、太湖同时发生流域性洪水，将承受巨大的压力，重点检查南排工程应急预案制订落实情况。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圩区长时间高水位浸泡防范。</w:t>
      </w:r>
      <w:r>
        <w:rPr>
          <w:rFonts w:ascii="Times New Roman" w:hAnsi="Times New Roman" w:eastAsia="仿宋_GB2312" w:cs="Times New Roman"/>
          <w:sz w:val="32"/>
          <w:szCs w:val="32"/>
        </w:rPr>
        <w:t>平原圩区规模偏小、排涝能力偏低，而且绝大部分农村圩区圩堤以土堤为主，堤身较为单薄，遇长历时高水位浸泡，易出现渗漏、漫顶、垮塌、滑坡等险情，重点检查圩区治理、高水位期间加强圩堤巡查抢险方案制订落实，抽查基层防汛责任人能否熟练操作“掌上应急”情况。</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黑体" w:cs="Times New Roman"/>
          <w:b/>
          <w:bCs/>
          <w:sz w:val="32"/>
          <w:szCs w:val="32"/>
        </w:rPr>
        <w:t>绍兴市：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浦阳江、曹娥江等发生流域性洪水防范。</w:t>
      </w:r>
      <w:r>
        <w:rPr>
          <w:rFonts w:ascii="Times New Roman" w:hAnsi="Times New Roman" w:eastAsia="仿宋_GB2312" w:cs="Times New Roman"/>
          <w:sz w:val="32"/>
          <w:szCs w:val="32"/>
        </w:rPr>
        <w:t>浦阳江、曹娥江已多年没发生流域性大洪水，重点检查高湖滞洪区治理、沿江湖畈的排涝泵站有序启用，曹娥江大浸畈启用准备等方案制订落实情况。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小流域山洪与地质灾害防范。</w:t>
      </w:r>
      <w:r>
        <w:rPr>
          <w:rFonts w:ascii="Times New Roman" w:hAnsi="Times New Roman" w:eastAsia="仿宋_GB2312" w:cs="Times New Roman"/>
          <w:sz w:val="32"/>
          <w:szCs w:val="32"/>
        </w:rPr>
        <w:t>全市现有山洪灾害防御重要村落909个。南部地区山地多，地质灾害风险范围广，近年来上虞、嵊州、新昌等地小流域山洪与地质灾害屡有发生，但仅明确地质灾害隐患点16个、仅划定地质灾害风险防范区808处。重点抽查基层防汛责任人特别是人员转移责任的知责于心和能否熟练操作“掌上应急”情况。</w:t>
      </w:r>
      <w:r>
        <w:rPr>
          <w:rFonts w:hint="eastAsia" w:ascii="宋体" w:hAnsi="宋体" w:eastAsia="宋体" w:cs="宋体"/>
          <w:b/>
          <w:bCs/>
          <w:sz w:val="32"/>
          <w:szCs w:val="32"/>
        </w:rPr>
        <w:t>③</w:t>
      </w:r>
      <w:r>
        <w:rPr>
          <w:rFonts w:ascii="Times New Roman" w:hAnsi="Times New Roman" w:eastAsia="仿宋_GB2312" w:cs="Times New Roman"/>
          <w:b/>
          <w:bCs/>
          <w:sz w:val="32"/>
          <w:szCs w:val="32"/>
        </w:rPr>
        <w:t>防汛防台县级力量配备</w:t>
      </w:r>
      <w:r>
        <w:rPr>
          <w:rFonts w:ascii="Times New Roman" w:hAnsi="Times New Roman" w:eastAsia="仿宋_GB2312" w:cs="Times New Roman"/>
          <w:sz w:val="32"/>
          <w:szCs w:val="32"/>
        </w:rPr>
        <w:t>。部分县级专业力量配备不足，重点检查县级专业力量配备情况。</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黑体" w:cs="Times New Roman"/>
          <w:b/>
          <w:bCs/>
          <w:sz w:val="32"/>
          <w:szCs w:val="32"/>
        </w:rPr>
        <w:t>金华市：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兰溪市流域性洪水防御。</w:t>
      </w:r>
      <w:r>
        <w:rPr>
          <w:rFonts w:ascii="Times New Roman" w:hAnsi="Times New Roman" w:eastAsia="仿宋_GB2312" w:cs="Times New Roman"/>
          <w:sz w:val="32"/>
          <w:szCs w:val="32"/>
        </w:rPr>
        <w:t>兰溪地处兰江、金华江、衢江三江交汇处，是全省防洪重点地区。兰江干流干堤已按规划设置滚水堰，为更好实现流域性洪水防御，需采取分级弃守措施，重点检查堤防分级设防方案制定落实情况。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水库山塘等水利工程安全管理。</w:t>
      </w:r>
      <w:r>
        <w:rPr>
          <w:rFonts w:ascii="Times New Roman" w:hAnsi="Times New Roman" w:eastAsia="仿宋_GB2312" w:cs="Times New Roman"/>
          <w:sz w:val="32"/>
          <w:szCs w:val="32"/>
        </w:rPr>
        <w:t>水库山塘众多，分别占全省1/5和1/4，其中80%建于上世纪50至70年代，病险水库动态发生，防汛保安任务重，重点检查除险加固整治进展情况。</w:t>
      </w:r>
      <w:r>
        <w:rPr>
          <w:rFonts w:hint="eastAsia" w:ascii="宋体" w:hAnsi="宋体" w:eastAsia="宋体" w:cs="宋体"/>
          <w:b/>
          <w:bCs/>
          <w:sz w:val="32"/>
          <w:szCs w:val="32"/>
        </w:rPr>
        <w:t>③</w:t>
      </w:r>
      <w:r>
        <w:rPr>
          <w:rFonts w:ascii="Times New Roman" w:hAnsi="Times New Roman" w:eastAsia="仿宋_GB2312" w:cs="Times New Roman"/>
          <w:b/>
          <w:bCs/>
          <w:sz w:val="32"/>
          <w:szCs w:val="32"/>
        </w:rPr>
        <w:t>东部南部山区山洪地质灾害防范。</w:t>
      </w:r>
      <w:r>
        <w:rPr>
          <w:rFonts w:ascii="Times New Roman" w:hAnsi="Times New Roman" w:eastAsia="仿宋_GB2312" w:cs="Times New Roman"/>
          <w:sz w:val="32"/>
          <w:szCs w:val="32"/>
        </w:rPr>
        <w:t>小流域面广量大，全市共有山洪灾害防御重点村落1351个、地质灾害隐患点96个、地质灾害风险防范区1509处，主要集中在东阳、磐安、武义、永康等地，易遭受小流域山洪和地质灾害，重点检查地质灾害隐患点治理，抽查基层防汛责任人特别是人员转移责任的知责于心和能否熟练操作“掌上应急”情况。</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黑体" w:cs="Times New Roman"/>
          <w:b/>
          <w:bCs/>
          <w:sz w:val="32"/>
          <w:szCs w:val="32"/>
        </w:rPr>
        <w:t>衢州市：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小流域山洪与地质灾害防范。</w:t>
      </w:r>
      <w:r>
        <w:rPr>
          <w:rFonts w:ascii="Times New Roman" w:hAnsi="Times New Roman" w:eastAsia="仿宋_GB2312" w:cs="Times New Roman"/>
          <w:sz w:val="32"/>
          <w:szCs w:val="32"/>
        </w:rPr>
        <w:t>全市现有山洪灾害防御重要村落2513个、地质灾害隐患点67个、地质灾害风险防范区436处，开化、江山、龙游、柯城等地是我省梅雨影响最严重的地区之一，极易引发小流域山洪与地质灾害。重点检查地质灾害隐患点治理，抽查基层防汛责任人特别是人员转移责任的知责于心和能否熟练操作“掌上应急”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衢江流域性洪水防御。</w:t>
      </w:r>
      <w:r>
        <w:rPr>
          <w:rFonts w:ascii="Times New Roman" w:hAnsi="Times New Roman" w:eastAsia="仿宋_GB2312" w:cs="Times New Roman"/>
          <w:sz w:val="32"/>
          <w:szCs w:val="32"/>
        </w:rPr>
        <w:t>衢州以上缺少控制性防洪工程，开化水库建成还需时间，常山港部分河段仍存在低标准土堤，常山、衢州城市防洪标准较低，未能形成完整的堤库结合的防洪工程体系，出险概率大。衢江干流上的上中洲、下中洲、翁家等江心洲有居民居住，重点检查洪水期间保证人员及时撤离等的安全措施方案制订落实情况。</w:t>
      </w:r>
      <w:r>
        <w:rPr>
          <w:rFonts w:hint="eastAsia" w:ascii="宋体" w:hAnsi="宋体" w:eastAsia="宋体" w:cs="宋体"/>
          <w:b/>
          <w:bCs/>
          <w:sz w:val="32"/>
          <w:szCs w:val="32"/>
        </w:rPr>
        <w:t>③</w:t>
      </w:r>
      <w:r>
        <w:rPr>
          <w:rFonts w:ascii="Times New Roman" w:hAnsi="Times New Roman" w:eastAsia="仿宋_GB2312" w:cs="Times New Roman"/>
          <w:b/>
          <w:bCs/>
          <w:sz w:val="32"/>
          <w:szCs w:val="32"/>
        </w:rPr>
        <w:t>市县和基层防汛防台能力</w:t>
      </w:r>
      <w:r>
        <w:rPr>
          <w:rFonts w:ascii="Times New Roman" w:hAnsi="Times New Roman" w:eastAsia="仿宋_GB2312" w:cs="Times New Roman"/>
          <w:sz w:val="32"/>
          <w:szCs w:val="32"/>
        </w:rPr>
        <w:t>。市、县两级防汛防台力量薄弱、专业不足，与本地区繁重的防汛防台任务不相适应，同时信息化建设相对滞后，重点检查专业力量配备、数字赋能落实情况。</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黑体" w:cs="Times New Roman"/>
          <w:b/>
          <w:bCs/>
          <w:sz w:val="32"/>
          <w:szCs w:val="32"/>
        </w:rPr>
        <w:t>舟山市：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渔船回港避风。</w:t>
      </w:r>
      <w:r>
        <w:rPr>
          <w:rFonts w:ascii="Times New Roman" w:hAnsi="Times New Roman" w:eastAsia="仿宋_GB2312" w:cs="Times New Roman"/>
          <w:sz w:val="32"/>
          <w:szCs w:val="32"/>
        </w:rPr>
        <w:t>舟山市渔船有5870艘，接近全省总数的1/3，舟山港、衢山等水域避风锚地不足。渔船管控上存在不按规定回港避风、渔船临时转港、台风警报解除前渔船抢风头出海生产等问题，还有外省籍渔船避台信息难以掌握，数量不明，动态不清，风前到港避风、风后出港生产随意性大，对整体防台秩序管控造成重大影响。重点检查避风锚地规划建设、港长制落实，渔船省际联防联控机制等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无动力船只保安。</w:t>
      </w:r>
      <w:r>
        <w:rPr>
          <w:rFonts w:ascii="Times New Roman" w:hAnsi="Times New Roman" w:eastAsia="仿宋_GB2312" w:cs="Times New Roman"/>
          <w:sz w:val="32"/>
          <w:szCs w:val="32"/>
        </w:rPr>
        <w:t>目前，全市无动力船舶204艘（其中无动力修造船舶138艘，无动力施工船舶66艘）、扣押船舶32艘、长期停航船舶33艘，若发生走锚，对附近船舶及跨海大桥、海塘等威胁极大，重点检查逐船落实责任和保安措施情况。</w:t>
      </w:r>
      <w:r>
        <w:rPr>
          <w:rFonts w:hint="eastAsia" w:ascii="宋体" w:hAnsi="宋体" w:eastAsia="宋体" w:cs="宋体"/>
          <w:b/>
          <w:bCs/>
          <w:sz w:val="32"/>
          <w:szCs w:val="32"/>
        </w:rPr>
        <w:t>③</w:t>
      </w:r>
      <w:r>
        <w:rPr>
          <w:rFonts w:ascii="Times New Roman" w:hAnsi="Times New Roman" w:eastAsia="仿宋_GB2312" w:cs="Times New Roman"/>
          <w:b/>
          <w:bCs/>
          <w:sz w:val="32"/>
          <w:szCs w:val="32"/>
        </w:rPr>
        <w:t>在建重点项目。</w:t>
      </w:r>
      <w:r>
        <w:rPr>
          <w:rFonts w:ascii="Times New Roman" w:hAnsi="Times New Roman" w:eastAsia="仿宋_GB2312" w:cs="Times New Roman"/>
          <w:sz w:val="32"/>
          <w:szCs w:val="32"/>
        </w:rPr>
        <w:t>舟山自贸区重点项目多，临时务工人员多。工业园区特别是危化企业防台压力大，如鱼山石化项目高峰时有6万多名施工、管理人员，重点检查安全避风方案制订落实情况。</w:t>
      </w:r>
      <w:r>
        <w:rPr>
          <w:rFonts w:hint="eastAsia" w:ascii="宋体" w:hAnsi="宋体" w:eastAsia="宋体" w:cs="宋体"/>
          <w:b/>
          <w:bCs/>
          <w:sz w:val="32"/>
          <w:szCs w:val="32"/>
        </w:rPr>
        <w:t>④</w:t>
      </w:r>
      <w:r>
        <w:rPr>
          <w:rFonts w:ascii="Times New Roman" w:hAnsi="Times New Roman" w:eastAsia="仿宋_GB2312" w:cs="Times New Roman"/>
          <w:b/>
          <w:bCs/>
          <w:sz w:val="32"/>
          <w:szCs w:val="32"/>
        </w:rPr>
        <w:t>基层防汛防台体系</w:t>
      </w:r>
      <w:r>
        <w:rPr>
          <w:rFonts w:ascii="Times New Roman" w:hAnsi="Times New Roman" w:eastAsia="仿宋_GB2312" w:cs="Times New Roman"/>
          <w:sz w:val="32"/>
          <w:szCs w:val="32"/>
        </w:rPr>
        <w:t>。县一级的防汛防台工作统筹能力、海上救援力量还不够强，离岛的镇、村两级自救互救能力还不足，重点检查海上救援力量、自救互救能力建设情况，抽查基层防汛责任人特别是人员转移责任的知责于心和能否熟练操作“掌上应急”情况。</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黑体" w:cs="Times New Roman"/>
          <w:b/>
          <w:bCs/>
          <w:sz w:val="32"/>
          <w:szCs w:val="32"/>
        </w:rPr>
        <w:t>台州市：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温黄等沿海平原防洪排涝。</w:t>
      </w:r>
      <w:r>
        <w:rPr>
          <w:rFonts w:ascii="Times New Roman" w:hAnsi="Times New Roman" w:eastAsia="仿宋_GB2312" w:cs="Times New Roman"/>
          <w:sz w:val="32"/>
          <w:szCs w:val="32"/>
        </w:rPr>
        <w:t>温黄平原总体排涝标准不高，易发生城市内涝。临海市在上游永安溪、始丰溪同时爆发洪水时城市防洪压力大。重点检查椒江流域洪水预报、洪水联合调度等方案措施制订落实情况。</w:t>
      </w:r>
      <w:r>
        <w:rPr>
          <w:rFonts w:hint="eastAsia" w:ascii="宋体" w:hAnsi="宋体" w:eastAsia="宋体" w:cs="宋体"/>
          <w:b/>
          <w:bCs/>
          <w:sz w:val="32"/>
          <w:szCs w:val="32"/>
        </w:rPr>
        <w:t>②</w:t>
      </w:r>
      <w:r>
        <w:rPr>
          <w:rFonts w:ascii="Times New Roman" w:hAnsi="Times New Roman" w:eastAsia="仿宋_GB2312" w:cs="Times New Roman"/>
          <w:b/>
          <w:bCs/>
          <w:sz w:val="32"/>
          <w:szCs w:val="32"/>
        </w:rPr>
        <w:t>小流域山洪与地质灾害防范。</w:t>
      </w:r>
      <w:r>
        <w:rPr>
          <w:rFonts w:ascii="Times New Roman" w:hAnsi="Times New Roman" w:eastAsia="仿宋_GB2312" w:cs="Times New Roman"/>
          <w:snapToGrid w:val="0"/>
          <w:color w:val="000000"/>
          <w:kern w:val="0"/>
          <w:sz w:val="32"/>
          <w:szCs w:val="32"/>
        </w:rPr>
        <w:t>括苍山、天台山为我省台风期的暴雨带，易发生小流域山洪和地质灾害。全市</w:t>
      </w:r>
      <w:r>
        <w:rPr>
          <w:rFonts w:ascii="Times New Roman" w:hAnsi="Times New Roman" w:eastAsia="仿宋_GB2312" w:cs="Times New Roman"/>
          <w:sz w:val="32"/>
          <w:szCs w:val="32"/>
        </w:rPr>
        <w:t>现有山洪灾害防御重要村落1075个、地质灾害隐患点126个，地质灾害风险防范区1059处，重点检查山洪灾害、地质灾害隐患点普查和治理进展</w:t>
      </w:r>
      <w:r>
        <w:rPr>
          <w:rFonts w:ascii="Times New Roman" w:hAnsi="Times New Roman" w:eastAsia="仿宋_GB2312" w:cs="Times New Roman"/>
          <w:snapToGrid w:val="0"/>
          <w:color w:val="000000"/>
          <w:kern w:val="0"/>
          <w:sz w:val="32"/>
          <w:szCs w:val="32"/>
        </w:rPr>
        <w:t>。</w:t>
      </w:r>
      <w:r>
        <w:rPr>
          <w:rFonts w:hint="eastAsia" w:ascii="宋体" w:hAnsi="宋体" w:eastAsia="宋体" w:cs="宋体"/>
          <w:b/>
          <w:bCs/>
          <w:sz w:val="32"/>
          <w:szCs w:val="32"/>
        </w:rPr>
        <w:t>③</w:t>
      </w:r>
      <w:r>
        <w:rPr>
          <w:rFonts w:ascii="Times New Roman" w:hAnsi="Times New Roman" w:eastAsia="仿宋_GB2312" w:cs="Times New Roman"/>
          <w:b/>
          <w:bCs/>
          <w:sz w:val="32"/>
          <w:szCs w:val="32"/>
        </w:rPr>
        <w:t>沿海局部地区干旱防范。</w:t>
      </w:r>
      <w:r>
        <w:rPr>
          <w:rFonts w:ascii="Times New Roman" w:hAnsi="Times New Roman" w:eastAsia="仿宋_GB2312" w:cs="Times New Roman"/>
          <w:sz w:val="32"/>
          <w:szCs w:val="32"/>
        </w:rPr>
        <w:t>温岭、玉环、三门是我省传统旱区，域内供水以流域面积不大的中小型水库供水为主。一旦台汛期降雨不足，易发生冬春连旱，部分海岛供水需要送水以解决饮水困难，重点检查朱溪水库、台州湾南部供水工程进展和应急送水方案制订情况。</w:t>
      </w:r>
      <w:r>
        <w:rPr>
          <w:rFonts w:hint="eastAsia" w:ascii="宋体" w:hAnsi="宋体" w:eastAsia="宋体" w:cs="宋体"/>
          <w:b/>
          <w:bCs/>
          <w:sz w:val="32"/>
          <w:szCs w:val="32"/>
        </w:rPr>
        <w:t>④</w:t>
      </w:r>
      <w:r>
        <w:rPr>
          <w:rFonts w:ascii="Times New Roman" w:hAnsi="Times New Roman" w:eastAsia="仿宋_GB2312" w:cs="Times New Roman"/>
          <w:b/>
          <w:bCs/>
          <w:sz w:val="32"/>
          <w:szCs w:val="32"/>
        </w:rPr>
        <w:t>基层防汛防台体系建设</w:t>
      </w:r>
      <w:r>
        <w:rPr>
          <w:rFonts w:ascii="Times New Roman" w:hAnsi="Times New Roman" w:eastAsia="仿宋_GB2312" w:cs="Times New Roman"/>
          <w:sz w:val="32"/>
          <w:szCs w:val="32"/>
        </w:rPr>
        <w:t>。重点检查县一级的防汛防台工作统筹能力，镇、村两级自救互救能力等提升情况，抽查基层防汛责任人特别是人员转移责任的知责于心和能否熟练操作“掌上应急”情况。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bCs/>
          <w:sz w:val="32"/>
          <w:szCs w:val="32"/>
        </w:rPr>
        <w:t>丽水市：</w:t>
      </w:r>
      <w:r>
        <w:rPr>
          <w:rFonts w:hint="eastAsia" w:ascii="宋体" w:hAnsi="宋体" w:eastAsia="宋体" w:cs="宋体"/>
          <w:b/>
          <w:bCs/>
          <w:sz w:val="32"/>
          <w:szCs w:val="32"/>
        </w:rPr>
        <w:t>①</w:t>
      </w:r>
      <w:r>
        <w:rPr>
          <w:rFonts w:ascii="Times New Roman" w:hAnsi="Times New Roman" w:eastAsia="仿宋_GB2312" w:cs="Times New Roman"/>
          <w:b/>
          <w:bCs/>
          <w:sz w:val="32"/>
          <w:szCs w:val="32"/>
        </w:rPr>
        <w:t>小流域山洪与地质灾害防范。</w:t>
      </w:r>
      <w:r>
        <w:rPr>
          <w:rFonts w:ascii="Times New Roman" w:hAnsi="Times New Roman" w:eastAsia="仿宋_GB2312" w:cs="Times New Roman"/>
          <w:sz w:val="32"/>
          <w:szCs w:val="32"/>
        </w:rPr>
        <w:t>全市现有山洪灾害防御重点村落2011个，地质灾害隐患点66个、地质灾害风险防范区1628处，特别是龙泉、遂昌、庆元等地山洪灾害多发易发，部分地质灾害重大隐患点没有完成综合治理，存在较大风险。重点检查山洪灾害、地质灾害隐患点普查和治理进展。</w:t>
      </w:r>
      <w:r>
        <w:rPr>
          <w:rFonts w:hint="eastAsia" w:ascii="宋体" w:hAnsi="宋体" w:eastAsia="宋体" w:cs="宋体"/>
          <w:b/>
          <w:bCs/>
          <w:sz w:val="32"/>
          <w:szCs w:val="32"/>
        </w:rPr>
        <w:t>②</w:t>
      </w:r>
      <w:r>
        <w:rPr>
          <w:rFonts w:ascii="Times New Roman" w:hAnsi="Times New Roman" w:eastAsia="仿宋_GB2312" w:cs="Times New Roman"/>
          <w:b/>
          <w:bCs/>
          <w:sz w:val="32"/>
          <w:szCs w:val="32"/>
        </w:rPr>
        <w:t>瓯江干流梯级联合调度。</w:t>
      </w:r>
      <w:r>
        <w:rPr>
          <w:rFonts w:ascii="Times New Roman" w:hAnsi="Times New Roman" w:eastAsia="仿宋_GB2312" w:cs="Times New Roman"/>
          <w:sz w:val="32"/>
          <w:szCs w:val="32"/>
        </w:rPr>
        <w:t>瓯江流域干流沿线有紧水滩、玉溪、开潭、五里亭、外雄、三溪口、青田等梯级电站，沿线腊口、海口、船寮等乡镇和330国道等公路部分地区由于地势较低，实际防洪能力与规划标准存在较大差距，尚未达到防洪标准而受淹，流域联合调度尚在磨合期，洪水预报精度尚不能满足调度要求，重点检查流域洪水预报能力、调度方案等制订落实情况。</w:t>
      </w:r>
      <w:r>
        <w:rPr>
          <w:rFonts w:hint="eastAsia" w:ascii="宋体" w:hAnsi="宋体" w:eastAsia="宋体" w:cs="宋体"/>
          <w:b/>
          <w:bCs/>
          <w:sz w:val="32"/>
          <w:szCs w:val="32"/>
        </w:rPr>
        <w:t>③</w:t>
      </w:r>
      <w:r>
        <w:rPr>
          <w:rFonts w:ascii="Times New Roman" w:hAnsi="Times New Roman" w:eastAsia="仿宋_GB2312" w:cs="Times New Roman"/>
          <w:b/>
          <w:bCs/>
          <w:sz w:val="32"/>
          <w:szCs w:val="32"/>
        </w:rPr>
        <w:t>市县和基层防汛防台能力</w:t>
      </w:r>
      <w:r>
        <w:rPr>
          <w:rFonts w:ascii="Times New Roman" w:hAnsi="Times New Roman" w:eastAsia="仿宋_GB2312" w:cs="Times New Roman"/>
          <w:sz w:val="32"/>
          <w:szCs w:val="32"/>
        </w:rPr>
        <w:t>。重点检查市、县两级的防汛防台专业力量和瓯江流域调度技术人员配备，自然灾害数字化平台应用等落实情况，抽查基层防汛责任人特别是人员转移责任的知责于心和能否熟练操作“掌上应急”情况。</w:t>
      </w:r>
    </w:p>
    <w:p>
      <w:pPr>
        <w:spacing w:line="560" w:lineRule="exact"/>
        <w:ind w:firstLine="4000" w:firstLineChars="125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720" w:firstLineChars="200"/>
        <w:rPr>
          <w:rFonts w:ascii="Times New Roman" w:hAnsi="Times New Roman" w:eastAsia="仿宋_GB2312" w:cs="Times New Roman"/>
          <w:color w:val="000000" w:themeColor="text1"/>
          <w:sz w:val="36"/>
          <w:szCs w:val="36"/>
          <w14:textFill>
            <w14:solidFill>
              <w14:schemeClr w14:val="tx1"/>
            </w14:solidFill>
          </w14:textFill>
        </w:rPr>
        <w:sectPr>
          <w:footerReference r:id="rId3" w:type="default"/>
          <w:pgSz w:w="11906" w:h="16838"/>
          <w:pgMar w:top="1440" w:right="1588" w:bottom="1440" w:left="1588" w:header="851" w:footer="992" w:gutter="0"/>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各市防汛检查整改汇总表</w:t>
      </w:r>
    </w:p>
    <w:p>
      <w:pPr>
        <w:ind w:firstLine="420" w:firstLineChars="200"/>
        <w:rPr>
          <w:rFonts w:ascii="Times New Roman" w:hAnsi="Times New Roman" w:cs="Times New Roman"/>
          <w:szCs w:val="21"/>
        </w:rPr>
      </w:pPr>
      <w:r>
        <w:rPr>
          <w:rFonts w:ascii="Times New Roman" w:hAnsi="Times New Roman" w:cs="Times New Roman"/>
          <w:szCs w:val="21"/>
        </w:rPr>
        <w:t xml:space="preserve">单位：                                                                                            填表日期：  年  月   日   </w:t>
      </w:r>
    </w:p>
    <w:tbl>
      <w:tblPr>
        <w:tblStyle w:val="6"/>
        <w:tblpPr w:leftFromText="180" w:rightFromText="180" w:vertAnchor="text" w:horzAnchor="page" w:tblpXSpec="center" w:tblpY="302"/>
        <w:tblOverlap w:val="never"/>
        <w:tblW w:w="5000" w:type="pct"/>
        <w:jc w:val="center"/>
        <w:tblLayout w:type="autofit"/>
        <w:tblCellMar>
          <w:top w:w="0" w:type="dxa"/>
          <w:left w:w="23" w:type="dxa"/>
          <w:bottom w:w="0" w:type="dxa"/>
          <w:right w:w="23" w:type="dxa"/>
        </w:tblCellMar>
      </w:tblPr>
      <w:tblGrid>
        <w:gridCol w:w="886"/>
        <w:gridCol w:w="886"/>
        <w:gridCol w:w="884"/>
        <w:gridCol w:w="931"/>
        <w:gridCol w:w="850"/>
        <w:gridCol w:w="911"/>
        <w:gridCol w:w="962"/>
        <w:gridCol w:w="1048"/>
        <w:gridCol w:w="1048"/>
        <w:gridCol w:w="1048"/>
        <w:gridCol w:w="936"/>
        <w:gridCol w:w="948"/>
        <w:gridCol w:w="786"/>
        <w:gridCol w:w="923"/>
        <w:gridCol w:w="889"/>
      </w:tblGrid>
      <w:tr>
        <w:tblPrEx>
          <w:tblCellMar>
            <w:top w:w="0" w:type="dxa"/>
            <w:left w:w="23" w:type="dxa"/>
            <w:bottom w:w="0" w:type="dxa"/>
            <w:right w:w="23" w:type="dxa"/>
          </w:tblCellMar>
        </w:tblPrEx>
        <w:trPr>
          <w:trHeight w:val="448" w:hRule="atLeast"/>
          <w:jc w:val="center"/>
        </w:trPr>
        <w:tc>
          <w:tcPr>
            <w:tcW w:w="318" w:type="pct"/>
            <w:vMerge w:val="restart"/>
            <w:tcBorders>
              <w:top w:val="single" w:color="auto" w:sz="12" w:space="0"/>
              <w:left w:val="single" w:color="auto" w:sz="12" w:space="0"/>
              <w:bottom w:val="single" w:color="000000"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县（市、区）</w:t>
            </w:r>
          </w:p>
        </w:tc>
        <w:tc>
          <w:tcPr>
            <w:tcW w:w="318" w:type="pct"/>
            <w:vMerge w:val="restart"/>
            <w:tcBorders>
              <w:top w:val="single" w:color="auto" w:sz="12" w:space="0"/>
              <w:left w:val="single" w:color="auto" w:sz="4" w:space="0"/>
              <w:bottom w:val="single" w:color="000000" w:sz="4" w:space="0"/>
              <w:right w:val="single" w:color="auto" w:sz="4" w:space="0"/>
            </w:tcBorders>
            <w:vAlign w:val="center"/>
          </w:tcPr>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检查</w:t>
            </w:r>
          </w:p>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人次</w:t>
            </w:r>
          </w:p>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（人）</w:t>
            </w:r>
          </w:p>
        </w:tc>
        <w:tc>
          <w:tcPr>
            <w:tcW w:w="317" w:type="pct"/>
            <w:vMerge w:val="restart"/>
            <w:tcBorders>
              <w:top w:val="single" w:color="auto" w:sz="12" w:space="0"/>
              <w:left w:val="single" w:color="auto" w:sz="4" w:space="0"/>
              <w:bottom w:val="single" w:color="auto" w:sz="4" w:space="0"/>
              <w:right w:val="single" w:color="auto" w:sz="4" w:space="0"/>
            </w:tcBorders>
            <w:vAlign w:val="center"/>
          </w:tcPr>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检查</w:t>
            </w:r>
          </w:p>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处数</w:t>
            </w:r>
          </w:p>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（处）</w:t>
            </w:r>
          </w:p>
        </w:tc>
        <w:tc>
          <w:tcPr>
            <w:tcW w:w="334" w:type="pct"/>
            <w:vMerge w:val="restart"/>
            <w:tcBorders>
              <w:top w:val="single" w:color="auto" w:sz="12" w:space="0"/>
              <w:left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发现</w:t>
            </w:r>
          </w:p>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隐患</w:t>
            </w:r>
          </w:p>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（处）</w:t>
            </w:r>
          </w:p>
        </w:tc>
        <w:tc>
          <w:tcPr>
            <w:tcW w:w="1353" w:type="pct"/>
            <w:gridSpan w:val="4"/>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整改情况</w:t>
            </w:r>
          </w:p>
        </w:tc>
        <w:tc>
          <w:tcPr>
            <w:tcW w:w="376" w:type="pct"/>
            <w:vMerge w:val="restart"/>
            <w:tcBorders>
              <w:top w:val="single" w:color="auto" w:sz="12" w:space="0"/>
              <w:left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督办单</w:t>
            </w:r>
          </w:p>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（件）</w:t>
            </w:r>
          </w:p>
        </w:tc>
        <w:tc>
          <w:tcPr>
            <w:tcW w:w="712" w:type="pct"/>
            <w:gridSpan w:val="2"/>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检查基层体系</w:t>
            </w:r>
          </w:p>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（个）</w:t>
            </w:r>
          </w:p>
        </w:tc>
        <w:tc>
          <w:tcPr>
            <w:tcW w:w="340" w:type="pct"/>
            <w:vMerge w:val="restart"/>
            <w:tcBorders>
              <w:top w:val="single" w:color="auto" w:sz="12" w:space="0"/>
              <w:left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基层各类责任人</w:t>
            </w:r>
          </w:p>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（人）</w:t>
            </w:r>
          </w:p>
        </w:tc>
        <w:tc>
          <w:tcPr>
            <w:tcW w:w="932" w:type="pct"/>
            <w:gridSpan w:val="3"/>
            <w:tcBorders>
              <w:top w:val="single" w:color="auto" w:sz="12" w:space="0"/>
              <w:left w:val="single" w:color="auto" w:sz="4" w:space="0"/>
              <w:bottom w:val="single" w:color="auto" w:sz="4" w:space="0"/>
              <w:right w:val="single" w:color="auto" w:sz="12"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村级防汛防台形势图（张）</w:t>
            </w:r>
          </w:p>
        </w:tc>
      </w:tr>
      <w:tr>
        <w:tblPrEx>
          <w:tblCellMar>
            <w:top w:w="0" w:type="dxa"/>
            <w:left w:w="23" w:type="dxa"/>
            <w:bottom w:w="0" w:type="dxa"/>
            <w:right w:w="23" w:type="dxa"/>
          </w:tblCellMar>
        </w:tblPrEx>
        <w:trPr>
          <w:trHeight w:val="1048" w:hRule="atLeast"/>
          <w:jc w:val="center"/>
        </w:trPr>
        <w:tc>
          <w:tcPr>
            <w:tcW w:w="318" w:type="pct"/>
            <w:vMerge w:val="continue"/>
            <w:tcBorders>
              <w:top w:val="single" w:color="auto" w:sz="4" w:space="0"/>
              <w:left w:val="single" w:color="auto" w:sz="12" w:space="0"/>
              <w:bottom w:val="single" w:color="000000" w:sz="4" w:space="0"/>
              <w:right w:val="single" w:color="auto" w:sz="4" w:space="0"/>
            </w:tcBorders>
            <w:vAlign w:val="center"/>
          </w:tcPr>
          <w:p>
            <w:pPr>
              <w:widowControl/>
              <w:jc w:val="left"/>
              <w:rPr>
                <w:rFonts w:ascii="Times New Roman" w:hAnsi="Times New Roman" w:eastAsia="仿宋_GB2312" w:cs="Times New Roman"/>
                <w:b/>
                <w:bCs/>
                <w:color w:val="000000"/>
                <w:sz w:val="20"/>
              </w:rPr>
            </w:pPr>
          </w:p>
        </w:tc>
        <w:tc>
          <w:tcPr>
            <w:tcW w:w="318"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bCs/>
                <w:color w:val="000000"/>
                <w:sz w:val="20"/>
              </w:rPr>
            </w:pPr>
          </w:p>
        </w:tc>
        <w:tc>
          <w:tcPr>
            <w:tcW w:w="317" w:type="pct"/>
            <w:vMerge w:val="continue"/>
            <w:tcBorders>
              <w:left w:val="single" w:color="auto" w:sz="4" w:space="0"/>
              <w:bottom w:val="single" w:color="auto" w:sz="4" w:space="0"/>
              <w:right w:val="single" w:color="auto" w:sz="4" w:space="0"/>
            </w:tcBorders>
          </w:tcPr>
          <w:p>
            <w:pPr>
              <w:widowControl/>
              <w:jc w:val="left"/>
              <w:rPr>
                <w:rFonts w:ascii="Times New Roman" w:hAnsi="Times New Roman" w:eastAsia="仿宋_GB2312" w:cs="Times New Roman"/>
                <w:b/>
                <w:bCs/>
                <w:color w:val="000000"/>
                <w:sz w:val="20"/>
              </w:rPr>
            </w:pPr>
          </w:p>
        </w:tc>
        <w:tc>
          <w:tcPr>
            <w:tcW w:w="334" w:type="pct"/>
            <w:vMerge w:val="continue"/>
            <w:tcBorders>
              <w:left w:val="single" w:color="auto" w:sz="4" w:space="0"/>
              <w:bottom w:val="single" w:color="auto" w:sz="4" w:space="0"/>
              <w:right w:val="single" w:color="auto" w:sz="4" w:space="0"/>
            </w:tcBorders>
          </w:tcPr>
          <w:p>
            <w:pPr>
              <w:widowControl/>
              <w:jc w:val="left"/>
              <w:rPr>
                <w:rFonts w:ascii="Times New Roman" w:hAnsi="Times New Roman" w:eastAsia="仿宋_GB2312" w:cs="Times New Roman"/>
                <w:b/>
                <w:bCs/>
                <w:color w:val="000000"/>
                <w:sz w:val="20"/>
              </w:rPr>
            </w:pP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其中：</w:t>
            </w:r>
          </w:p>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未整改（处）</w:t>
            </w:r>
          </w:p>
        </w:tc>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正在整改（处）</w:t>
            </w:r>
          </w:p>
        </w:tc>
        <w:tc>
          <w:tcPr>
            <w:tcW w:w="34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已落实度汛措施（处）</w:t>
            </w:r>
          </w:p>
        </w:tc>
        <w:tc>
          <w:tcPr>
            <w:tcW w:w="3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已完成整改（处）</w:t>
            </w:r>
          </w:p>
        </w:tc>
        <w:tc>
          <w:tcPr>
            <w:tcW w:w="376" w:type="pct"/>
            <w:vMerge w:val="continue"/>
            <w:tcBorders>
              <w:left w:val="single" w:color="auto" w:sz="4" w:space="0"/>
              <w:bottom w:val="single" w:color="auto" w:sz="4" w:space="0"/>
              <w:right w:val="single" w:color="auto" w:sz="4" w:space="0"/>
            </w:tcBorders>
          </w:tcPr>
          <w:p>
            <w:pPr>
              <w:widowControl/>
              <w:jc w:val="left"/>
              <w:rPr>
                <w:rFonts w:ascii="Times New Roman" w:hAnsi="Times New Roman" w:eastAsia="仿宋_GB2312" w:cs="Times New Roman"/>
                <w:b/>
                <w:bCs/>
                <w:color w:val="000000"/>
                <w:sz w:val="20"/>
              </w:rPr>
            </w:pPr>
          </w:p>
        </w:tc>
        <w:tc>
          <w:tcPr>
            <w:tcW w:w="3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乡镇</w:t>
            </w:r>
          </w:p>
          <w:p>
            <w:pPr>
              <w:widowControl/>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（街道）</w:t>
            </w:r>
          </w:p>
        </w:tc>
        <w:tc>
          <w:tcPr>
            <w:tcW w:w="33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村</w:t>
            </w:r>
          </w:p>
          <w:p>
            <w:pPr>
              <w:widowControl/>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（社区）</w:t>
            </w:r>
          </w:p>
        </w:tc>
        <w:tc>
          <w:tcPr>
            <w:tcW w:w="340" w:type="pct"/>
            <w:vMerge w:val="continue"/>
            <w:tcBorders>
              <w:left w:val="single" w:color="auto" w:sz="4" w:space="0"/>
              <w:bottom w:val="single" w:color="auto" w:sz="4" w:space="0"/>
              <w:right w:val="single" w:color="auto" w:sz="4" w:space="0"/>
            </w:tcBorders>
            <w:vAlign w:val="center"/>
          </w:tcPr>
          <w:p>
            <w:pPr>
              <w:ind w:firstLine="98" w:firstLineChars="49"/>
              <w:jc w:val="center"/>
              <w:rPr>
                <w:rFonts w:ascii="Times New Roman" w:hAnsi="Times New Roman" w:eastAsia="仿宋_GB2312" w:cs="Times New Roman"/>
                <w:b/>
                <w:bCs/>
                <w:color w:val="000000"/>
                <w:sz w:val="20"/>
              </w:rPr>
            </w:pPr>
          </w:p>
        </w:tc>
        <w:tc>
          <w:tcPr>
            <w:tcW w:w="282" w:type="pct"/>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总数</w:t>
            </w:r>
          </w:p>
        </w:tc>
        <w:tc>
          <w:tcPr>
            <w:tcW w:w="331" w:type="pct"/>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需更新</w:t>
            </w:r>
          </w:p>
        </w:tc>
        <w:tc>
          <w:tcPr>
            <w:tcW w:w="318" w:type="pct"/>
            <w:tcBorders>
              <w:left w:val="single" w:color="auto" w:sz="4" w:space="0"/>
              <w:bottom w:val="single" w:color="auto" w:sz="4" w:space="0"/>
              <w:right w:val="single" w:color="auto" w:sz="12" w:space="0"/>
            </w:tcBorders>
            <w:vAlign w:val="center"/>
          </w:tcPr>
          <w:p>
            <w:pPr>
              <w:widowControl/>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已更新</w:t>
            </w:r>
          </w:p>
        </w:tc>
      </w:tr>
      <w:tr>
        <w:tblPrEx>
          <w:tblCellMar>
            <w:top w:w="0" w:type="dxa"/>
            <w:left w:w="23" w:type="dxa"/>
            <w:bottom w:w="0" w:type="dxa"/>
            <w:right w:w="23" w:type="dxa"/>
          </w:tblCellMar>
        </w:tblPrEx>
        <w:trPr>
          <w:trHeight w:val="564" w:hRule="atLeast"/>
          <w:jc w:val="center"/>
        </w:trPr>
        <w:tc>
          <w:tcPr>
            <w:tcW w:w="318" w:type="pct"/>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18" w:type="pct"/>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317" w:type="pct"/>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34" w:type="pct"/>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05" w:type="pc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27" w:type="pc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45" w:type="pc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76" w:type="pc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76" w:type="pct"/>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76" w:type="pct"/>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36" w:type="pct"/>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40" w:type="pct"/>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282" w:type="pct"/>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31" w:type="pct"/>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18" w:type="pct"/>
            <w:tcBorders>
              <w:top w:val="single" w:color="auto" w:sz="4" w:space="0"/>
              <w:left w:val="single" w:color="auto" w:sz="4" w:space="0"/>
              <w:bottom w:val="single" w:color="auto" w:sz="4" w:space="0"/>
              <w:right w:val="single" w:color="auto" w:sz="12" w:space="0"/>
            </w:tcBorders>
          </w:tcPr>
          <w:p>
            <w:pPr>
              <w:widowControl/>
              <w:jc w:val="left"/>
              <w:rPr>
                <w:rFonts w:ascii="Times New Roman" w:hAnsi="Times New Roman" w:cs="Times New Roman"/>
                <w:kern w:val="0"/>
                <w:sz w:val="20"/>
              </w:rPr>
            </w:pPr>
          </w:p>
        </w:tc>
      </w:tr>
      <w:tr>
        <w:tblPrEx>
          <w:tblCellMar>
            <w:top w:w="0" w:type="dxa"/>
            <w:left w:w="23" w:type="dxa"/>
            <w:bottom w:w="0" w:type="dxa"/>
            <w:right w:w="23" w:type="dxa"/>
          </w:tblCellMar>
        </w:tblPrEx>
        <w:trPr>
          <w:trHeight w:val="564" w:hRule="atLeast"/>
          <w:jc w:val="center"/>
        </w:trPr>
        <w:tc>
          <w:tcPr>
            <w:tcW w:w="318" w:type="pct"/>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18" w:type="pct"/>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317"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34"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05"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27"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45"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76"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76"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76"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36"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40"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282"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31"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18" w:type="pct"/>
            <w:tcBorders>
              <w:top w:val="nil"/>
              <w:left w:val="single" w:color="auto" w:sz="4" w:space="0"/>
              <w:bottom w:val="single" w:color="auto" w:sz="4" w:space="0"/>
              <w:right w:val="single" w:color="auto" w:sz="12" w:space="0"/>
            </w:tcBorders>
          </w:tcPr>
          <w:p>
            <w:pPr>
              <w:widowControl/>
              <w:jc w:val="left"/>
              <w:rPr>
                <w:rFonts w:ascii="Times New Roman" w:hAnsi="Times New Roman" w:cs="Times New Roman"/>
                <w:kern w:val="0"/>
                <w:sz w:val="20"/>
              </w:rPr>
            </w:pPr>
          </w:p>
        </w:tc>
      </w:tr>
      <w:tr>
        <w:tblPrEx>
          <w:tblCellMar>
            <w:top w:w="0" w:type="dxa"/>
            <w:left w:w="23" w:type="dxa"/>
            <w:bottom w:w="0" w:type="dxa"/>
            <w:right w:w="23" w:type="dxa"/>
          </w:tblCellMar>
        </w:tblPrEx>
        <w:trPr>
          <w:trHeight w:val="564" w:hRule="atLeast"/>
          <w:jc w:val="center"/>
        </w:trPr>
        <w:tc>
          <w:tcPr>
            <w:tcW w:w="318" w:type="pct"/>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18" w:type="pct"/>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317"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34"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05"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27"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45"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76"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376"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76"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36"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40"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282"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31"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318" w:type="pct"/>
            <w:tcBorders>
              <w:top w:val="nil"/>
              <w:left w:val="single" w:color="auto" w:sz="4" w:space="0"/>
              <w:bottom w:val="single" w:color="auto" w:sz="4" w:space="0"/>
              <w:right w:val="single" w:color="auto" w:sz="12" w:space="0"/>
            </w:tcBorders>
          </w:tcPr>
          <w:p>
            <w:pPr>
              <w:widowControl/>
              <w:jc w:val="left"/>
              <w:rPr>
                <w:rFonts w:ascii="Times New Roman" w:hAnsi="Times New Roman" w:cs="Times New Roman"/>
                <w:kern w:val="0"/>
                <w:sz w:val="20"/>
              </w:rPr>
            </w:pPr>
          </w:p>
        </w:tc>
      </w:tr>
      <w:tr>
        <w:tblPrEx>
          <w:tblCellMar>
            <w:top w:w="0" w:type="dxa"/>
            <w:left w:w="23" w:type="dxa"/>
            <w:bottom w:w="0" w:type="dxa"/>
            <w:right w:w="23" w:type="dxa"/>
          </w:tblCellMar>
        </w:tblPrEx>
        <w:trPr>
          <w:trHeight w:val="564" w:hRule="atLeast"/>
          <w:jc w:val="center"/>
        </w:trPr>
        <w:tc>
          <w:tcPr>
            <w:tcW w:w="318" w:type="pct"/>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（市级检查）</w:t>
            </w:r>
          </w:p>
        </w:tc>
        <w:tc>
          <w:tcPr>
            <w:tcW w:w="318"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317"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color w:val="000000"/>
              </w:rPr>
            </w:pPr>
          </w:p>
        </w:tc>
        <w:tc>
          <w:tcPr>
            <w:tcW w:w="334"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color w:val="000000"/>
              </w:rPr>
            </w:pP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34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3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376"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color w:val="000000"/>
              </w:rPr>
            </w:pPr>
          </w:p>
        </w:tc>
        <w:tc>
          <w:tcPr>
            <w:tcW w:w="376"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color w:val="000000"/>
              </w:rPr>
            </w:pPr>
          </w:p>
        </w:tc>
        <w:tc>
          <w:tcPr>
            <w:tcW w:w="336"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color w:val="000000"/>
              </w:rPr>
            </w:pPr>
          </w:p>
        </w:tc>
        <w:tc>
          <w:tcPr>
            <w:tcW w:w="340"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color w:val="000000"/>
              </w:rPr>
            </w:pPr>
          </w:p>
        </w:tc>
        <w:tc>
          <w:tcPr>
            <w:tcW w:w="282"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color w:val="000000"/>
              </w:rPr>
            </w:pPr>
          </w:p>
        </w:tc>
        <w:tc>
          <w:tcPr>
            <w:tcW w:w="331"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color w:val="000000"/>
              </w:rPr>
            </w:pPr>
          </w:p>
        </w:tc>
        <w:tc>
          <w:tcPr>
            <w:tcW w:w="318" w:type="pct"/>
            <w:tcBorders>
              <w:top w:val="single" w:color="auto" w:sz="4" w:space="0"/>
              <w:left w:val="single" w:color="auto" w:sz="4" w:space="0"/>
              <w:bottom w:val="single" w:color="auto" w:sz="4" w:space="0"/>
              <w:right w:val="single" w:color="auto" w:sz="12" w:space="0"/>
            </w:tcBorders>
          </w:tcPr>
          <w:p>
            <w:pPr>
              <w:jc w:val="center"/>
              <w:rPr>
                <w:rFonts w:ascii="Times New Roman" w:hAnsi="Times New Roman" w:eastAsia="仿宋_GB2312" w:cs="Times New Roman"/>
                <w:color w:val="000000"/>
              </w:rPr>
            </w:pPr>
          </w:p>
        </w:tc>
      </w:tr>
      <w:tr>
        <w:tblPrEx>
          <w:tblCellMar>
            <w:top w:w="0" w:type="dxa"/>
            <w:left w:w="23" w:type="dxa"/>
            <w:bottom w:w="0" w:type="dxa"/>
            <w:right w:w="23" w:type="dxa"/>
          </w:tblCellMar>
        </w:tblPrEx>
        <w:trPr>
          <w:trHeight w:val="564" w:hRule="atLeast"/>
          <w:jc w:val="center"/>
        </w:trPr>
        <w:tc>
          <w:tcPr>
            <w:tcW w:w="318" w:type="pct"/>
            <w:tcBorders>
              <w:top w:val="single" w:color="auto" w:sz="4" w:space="0"/>
              <w:left w:val="single" w:color="auto" w:sz="12" w:space="0"/>
              <w:bottom w:val="single" w:color="auto" w:sz="12"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合计</w:t>
            </w:r>
          </w:p>
        </w:tc>
        <w:tc>
          <w:tcPr>
            <w:tcW w:w="318" w:type="pct"/>
            <w:tcBorders>
              <w:top w:val="single" w:color="auto" w:sz="4" w:space="0"/>
              <w:left w:val="nil"/>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317" w:type="pct"/>
            <w:tcBorders>
              <w:top w:val="single" w:color="auto" w:sz="4" w:space="0"/>
              <w:left w:val="single" w:color="auto" w:sz="4" w:space="0"/>
              <w:bottom w:val="single" w:color="auto" w:sz="12" w:space="0"/>
              <w:right w:val="single" w:color="auto" w:sz="4" w:space="0"/>
            </w:tcBorders>
          </w:tcPr>
          <w:p>
            <w:pPr>
              <w:jc w:val="center"/>
              <w:rPr>
                <w:rFonts w:ascii="Times New Roman" w:hAnsi="Times New Roman" w:eastAsia="仿宋_GB2312" w:cs="Times New Roman"/>
                <w:color w:val="000000"/>
              </w:rPr>
            </w:pPr>
          </w:p>
        </w:tc>
        <w:tc>
          <w:tcPr>
            <w:tcW w:w="334" w:type="pct"/>
            <w:tcBorders>
              <w:top w:val="single" w:color="auto" w:sz="4" w:space="0"/>
              <w:left w:val="single" w:color="auto" w:sz="4" w:space="0"/>
              <w:bottom w:val="single" w:color="auto" w:sz="12" w:space="0"/>
              <w:right w:val="single" w:color="auto" w:sz="4" w:space="0"/>
            </w:tcBorders>
          </w:tcPr>
          <w:p>
            <w:pPr>
              <w:jc w:val="center"/>
              <w:rPr>
                <w:rFonts w:ascii="Times New Roman" w:hAnsi="Times New Roman" w:eastAsia="仿宋_GB2312" w:cs="Times New Roman"/>
                <w:color w:val="000000"/>
              </w:rPr>
            </w:pPr>
          </w:p>
        </w:tc>
        <w:tc>
          <w:tcPr>
            <w:tcW w:w="305" w:type="pct"/>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327" w:type="pct"/>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345" w:type="pct"/>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376" w:type="pct"/>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376" w:type="pct"/>
            <w:tcBorders>
              <w:top w:val="single" w:color="auto" w:sz="4" w:space="0"/>
              <w:left w:val="single" w:color="auto" w:sz="4" w:space="0"/>
              <w:bottom w:val="single" w:color="auto" w:sz="12" w:space="0"/>
              <w:right w:val="single" w:color="auto" w:sz="4" w:space="0"/>
            </w:tcBorders>
          </w:tcPr>
          <w:p>
            <w:pPr>
              <w:jc w:val="center"/>
              <w:rPr>
                <w:rFonts w:ascii="Times New Roman" w:hAnsi="Times New Roman" w:eastAsia="仿宋_GB2312" w:cs="Times New Roman"/>
                <w:color w:val="000000"/>
              </w:rPr>
            </w:pPr>
          </w:p>
        </w:tc>
        <w:tc>
          <w:tcPr>
            <w:tcW w:w="376" w:type="pct"/>
            <w:tcBorders>
              <w:top w:val="single" w:color="auto" w:sz="4" w:space="0"/>
              <w:left w:val="single" w:color="auto" w:sz="4" w:space="0"/>
              <w:bottom w:val="single" w:color="auto" w:sz="12" w:space="0"/>
              <w:right w:val="single" w:color="auto" w:sz="4" w:space="0"/>
            </w:tcBorders>
          </w:tcPr>
          <w:p>
            <w:pPr>
              <w:jc w:val="center"/>
              <w:rPr>
                <w:rFonts w:ascii="Times New Roman" w:hAnsi="Times New Roman" w:eastAsia="仿宋_GB2312" w:cs="Times New Roman"/>
                <w:color w:val="000000"/>
              </w:rPr>
            </w:pPr>
          </w:p>
        </w:tc>
        <w:tc>
          <w:tcPr>
            <w:tcW w:w="336" w:type="pct"/>
            <w:tcBorders>
              <w:top w:val="single" w:color="auto" w:sz="4" w:space="0"/>
              <w:left w:val="single" w:color="auto" w:sz="4" w:space="0"/>
              <w:bottom w:val="single" w:color="auto" w:sz="12" w:space="0"/>
              <w:right w:val="single" w:color="auto" w:sz="4" w:space="0"/>
            </w:tcBorders>
          </w:tcPr>
          <w:p>
            <w:pPr>
              <w:jc w:val="center"/>
              <w:rPr>
                <w:rFonts w:ascii="Times New Roman" w:hAnsi="Times New Roman" w:eastAsia="仿宋_GB2312" w:cs="Times New Roman"/>
                <w:color w:val="000000"/>
              </w:rPr>
            </w:pPr>
          </w:p>
        </w:tc>
        <w:tc>
          <w:tcPr>
            <w:tcW w:w="340" w:type="pct"/>
            <w:tcBorders>
              <w:top w:val="single" w:color="auto" w:sz="4" w:space="0"/>
              <w:left w:val="single" w:color="auto" w:sz="4" w:space="0"/>
              <w:bottom w:val="single" w:color="auto" w:sz="12" w:space="0"/>
              <w:right w:val="single" w:color="auto" w:sz="4" w:space="0"/>
            </w:tcBorders>
          </w:tcPr>
          <w:p>
            <w:pPr>
              <w:jc w:val="center"/>
              <w:rPr>
                <w:rFonts w:ascii="Times New Roman" w:hAnsi="Times New Roman" w:eastAsia="仿宋_GB2312" w:cs="Times New Roman"/>
                <w:color w:val="000000"/>
              </w:rPr>
            </w:pPr>
          </w:p>
        </w:tc>
        <w:tc>
          <w:tcPr>
            <w:tcW w:w="282" w:type="pct"/>
            <w:tcBorders>
              <w:top w:val="single" w:color="auto" w:sz="4" w:space="0"/>
              <w:left w:val="single" w:color="auto" w:sz="4" w:space="0"/>
              <w:bottom w:val="single" w:color="auto" w:sz="12" w:space="0"/>
              <w:right w:val="single" w:color="auto" w:sz="4" w:space="0"/>
            </w:tcBorders>
          </w:tcPr>
          <w:p>
            <w:pPr>
              <w:jc w:val="center"/>
              <w:rPr>
                <w:rFonts w:ascii="Times New Roman" w:hAnsi="Times New Roman" w:eastAsia="仿宋_GB2312" w:cs="Times New Roman"/>
                <w:color w:val="000000"/>
              </w:rPr>
            </w:pPr>
          </w:p>
        </w:tc>
        <w:tc>
          <w:tcPr>
            <w:tcW w:w="331" w:type="pct"/>
            <w:tcBorders>
              <w:top w:val="single" w:color="auto" w:sz="4" w:space="0"/>
              <w:left w:val="single" w:color="auto" w:sz="4" w:space="0"/>
              <w:bottom w:val="single" w:color="auto" w:sz="12" w:space="0"/>
              <w:right w:val="single" w:color="auto" w:sz="4" w:space="0"/>
            </w:tcBorders>
          </w:tcPr>
          <w:p>
            <w:pPr>
              <w:jc w:val="center"/>
              <w:rPr>
                <w:rFonts w:ascii="Times New Roman" w:hAnsi="Times New Roman" w:eastAsia="仿宋_GB2312" w:cs="Times New Roman"/>
                <w:color w:val="000000"/>
              </w:rPr>
            </w:pPr>
          </w:p>
        </w:tc>
        <w:tc>
          <w:tcPr>
            <w:tcW w:w="318" w:type="pct"/>
            <w:tcBorders>
              <w:top w:val="single" w:color="auto" w:sz="4" w:space="0"/>
              <w:left w:val="single" w:color="auto" w:sz="4" w:space="0"/>
              <w:bottom w:val="single" w:color="auto" w:sz="12" w:space="0"/>
              <w:right w:val="single" w:color="auto" w:sz="12" w:space="0"/>
            </w:tcBorders>
          </w:tcPr>
          <w:p>
            <w:pPr>
              <w:jc w:val="center"/>
              <w:rPr>
                <w:rFonts w:ascii="Times New Roman" w:hAnsi="Times New Roman" w:eastAsia="仿宋_GB2312" w:cs="Times New Roman"/>
                <w:color w:val="000000"/>
              </w:rPr>
            </w:pPr>
          </w:p>
        </w:tc>
      </w:tr>
    </w:tbl>
    <w:p>
      <w:pPr>
        <w:jc w:val="left"/>
        <w:rPr>
          <w:rFonts w:ascii="Times New Roman" w:hAnsi="Times New Roman" w:eastAsia="仿宋_GB2312" w:cs="Times New Roman"/>
          <w:b/>
          <w:bCs/>
          <w:color w:val="000000"/>
        </w:rPr>
      </w:pPr>
      <w:r>
        <w:rPr>
          <w:rFonts w:ascii="Times New Roman" w:hAnsi="Times New Roman" w:eastAsia="仿宋_GB2312" w:cs="Times New Roman"/>
          <w:b/>
          <w:bCs/>
          <w:color w:val="000000"/>
        </w:rPr>
        <w:t xml:space="preserve">                 </w:t>
      </w:r>
    </w:p>
    <w:p>
      <w:pPr>
        <w:ind w:firstLine="422" w:firstLineChars="200"/>
        <w:jc w:val="left"/>
        <w:rPr>
          <w:rFonts w:ascii="Times New Roman" w:hAnsi="Times New Roman" w:eastAsia="仿宋_GB2312" w:cs="Times New Roman"/>
          <w:b/>
          <w:bCs/>
          <w:color w:val="000000"/>
          <w:szCs w:val="20"/>
        </w:rPr>
      </w:pPr>
      <w:r>
        <w:rPr>
          <w:rFonts w:ascii="Times New Roman" w:hAnsi="Times New Roman" w:eastAsia="仿宋_GB2312" w:cs="Times New Roman"/>
          <w:b/>
          <w:bCs/>
          <w:color w:val="000000"/>
        </w:rPr>
        <w:t>填表人：                                    联系电话：</w:t>
      </w:r>
    </w:p>
    <w:p>
      <w:pPr>
        <w:spacing w:line="320" w:lineRule="exact"/>
        <w:ind w:firstLine="720" w:firstLineChars="3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填表说明：1．本表由市防指负责报送；</w:t>
      </w:r>
    </w:p>
    <w:p>
      <w:pPr>
        <w:spacing w:line="320" w:lineRule="exact"/>
        <w:ind w:left="1890" w:leftChars="9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 检查处数指检查了已建和在建涉水工程、企业、地质灾害高风险区和隐患点、易洪易涝区、避风渔港、避灾场</w:t>
      </w:r>
    </w:p>
    <w:p>
      <w:pPr>
        <w:spacing w:line="320" w:lineRule="exact"/>
        <w:ind w:left="1890" w:leftChars="900" w:firstLine="240" w:firstLineChars="1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所、景区、农家乐等处数；</w:t>
      </w:r>
    </w:p>
    <w:p>
      <w:pPr>
        <w:spacing w:line="320" w:lineRule="exact"/>
        <w:ind w:firstLine="1920" w:firstLineChars="8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3．防汛各类责任人指应录入基层防汛防台信息平台的乡镇（街道）、村（社区）和网格等各类责任人；</w:t>
      </w:r>
    </w:p>
    <w:p>
      <w:pPr>
        <w:spacing w:line="320" w:lineRule="exact"/>
        <w:ind w:firstLine="1920" w:firstLineChars="8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4．整改情况一栏，在未整改完成之前，各设区市防指每月月底前汇总报省防指，特殊情况另行通知。</w:t>
      </w:r>
    </w:p>
    <w:p>
      <w:pPr>
        <w:ind w:firstLine="1050" w:firstLineChars="500"/>
        <w:rPr>
          <w:rFonts w:ascii="Times New Roman" w:hAnsi="Times New Roman" w:eastAsia="仿宋_GB2312" w:cs="Times New Roman"/>
          <w:color w:val="000000"/>
        </w:rPr>
        <w:sectPr>
          <w:pgSz w:w="16838" w:h="11906" w:orient="landscape"/>
          <w:pgMar w:top="1247" w:right="1474" w:bottom="1247" w:left="1474" w:header="851" w:footer="992" w:gutter="0"/>
          <w:cols w:space="720"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附件3</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省防指成员单位防汛检查整改汇总表</w:t>
      </w:r>
    </w:p>
    <w:p>
      <w:pPr>
        <w:spacing w:line="360" w:lineRule="exact"/>
        <w:jc w:val="center"/>
        <w:rPr>
          <w:rFonts w:ascii="Times New Roman" w:hAnsi="Times New Roman" w:eastAsia="华文中宋" w:cs="Times New Roman"/>
          <w:b/>
          <w:sz w:val="36"/>
          <w:szCs w:val="36"/>
        </w:rPr>
      </w:pPr>
    </w:p>
    <w:p>
      <w:pPr>
        <w:ind w:firstLine="843" w:firstLineChars="400"/>
        <w:rPr>
          <w:rFonts w:ascii="Times New Roman" w:hAnsi="Times New Roman" w:cs="Times New Roman"/>
          <w:szCs w:val="21"/>
        </w:rPr>
      </w:pPr>
      <w:r>
        <w:rPr>
          <w:rFonts w:ascii="Times New Roman" w:hAnsi="Times New Roman" w:cs="Times New Roman"/>
          <w:b/>
          <w:bCs/>
          <w:color w:val="000000"/>
        </w:rPr>
        <w:t>单位：</w:t>
      </w:r>
      <w:r>
        <w:rPr>
          <w:rFonts w:ascii="Times New Roman" w:hAnsi="Times New Roman" w:cs="Times New Roman"/>
          <w:szCs w:val="21"/>
        </w:rPr>
        <w:t xml:space="preserve">                                                                                       填表日期：  年  月   日  </w:t>
      </w:r>
    </w:p>
    <w:tbl>
      <w:tblPr>
        <w:tblStyle w:val="6"/>
        <w:tblW w:w="5000" w:type="pct"/>
        <w:jc w:val="center"/>
        <w:tblLayout w:type="autofit"/>
        <w:tblCellMar>
          <w:top w:w="0" w:type="dxa"/>
          <w:left w:w="23" w:type="dxa"/>
          <w:bottom w:w="0" w:type="dxa"/>
          <w:right w:w="23" w:type="dxa"/>
        </w:tblCellMar>
      </w:tblPr>
      <w:tblGrid>
        <w:gridCol w:w="1977"/>
        <w:gridCol w:w="1977"/>
        <w:gridCol w:w="1980"/>
        <w:gridCol w:w="1980"/>
        <w:gridCol w:w="1454"/>
        <w:gridCol w:w="1636"/>
        <w:gridCol w:w="1636"/>
        <w:gridCol w:w="1364"/>
      </w:tblGrid>
      <w:tr>
        <w:tblPrEx>
          <w:tblCellMar>
            <w:top w:w="0" w:type="dxa"/>
            <w:left w:w="23" w:type="dxa"/>
            <w:bottom w:w="0" w:type="dxa"/>
            <w:right w:w="23" w:type="dxa"/>
          </w:tblCellMar>
        </w:tblPrEx>
        <w:trPr>
          <w:trHeight w:val="448" w:hRule="atLeast"/>
          <w:jc w:val="center"/>
        </w:trPr>
        <w:tc>
          <w:tcPr>
            <w:tcW w:w="706" w:type="pct"/>
            <w:vMerge w:val="restart"/>
            <w:tcBorders>
              <w:top w:val="single" w:color="auto" w:sz="12" w:space="0"/>
              <w:left w:val="single" w:color="auto" w:sz="12" w:space="0"/>
              <w:bottom w:val="single" w:color="000000"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设区市</w:t>
            </w:r>
          </w:p>
        </w:tc>
        <w:tc>
          <w:tcPr>
            <w:tcW w:w="706" w:type="pct"/>
            <w:vMerge w:val="restart"/>
            <w:tcBorders>
              <w:top w:val="single" w:color="auto" w:sz="12" w:space="0"/>
              <w:left w:val="single" w:color="auto" w:sz="4" w:space="0"/>
              <w:bottom w:val="single" w:color="000000" w:sz="4" w:space="0"/>
              <w:right w:val="single" w:color="auto" w:sz="4" w:space="0"/>
            </w:tcBorders>
            <w:vAlign w:val="center"/>
          </w:tcPr>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检查人次</w:t>
            </w:r>
          </w:p>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（人）</w:t>
            </w:r>
          </w:p>
        </w:tc>
        <w:tc>
          <w:tcPr>
            <w:tcW w:w="707" w:type="pct"/>
            <w:vMerge w:val="restart"/>
            <w:tcBorders>
              <w:top w:val="single" w:color="auto" w:sz="12" w:space="0"/>
              <w:left w:val="single" w:color="auto" w:sz="4" w:space="0"/>
              <w:right w:val="single" w:color="auto" w:sz="4" w:space="0"/>
            </w:tcBorders>
            <w:vAlign w:val="center"/>
          </w:tcPr>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检查处数</w:t>
            </w:r>
          </w:p>
          <w:p>
            <w:pPr>
              <w:ind w:firstLine="98" w:firstLineChars="49"/>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（处）</w:t>
            </w:r>
          </w:p>
        </w:tc>
        <w:tc>
          <w:tcPr>
            <w:tcW w:w="707" w:type="pct"/>
            <w:vMerge w:val="restart"/>
            <w:tcBorders>
              <w:top w:val="single" w:color="auto" w:sz="12" w:space="0"/>
              <w:left w:val="single" w:color="auto" w:sz="4" w:space="0"/>
              <w:bottom w:val="single" w:color="000000"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查出隐患</w:t>
            </w:r>
          </w:p>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（处）</w:t>
            </w:r>
          </w:p>
        </w:tc>
        <w:tc>
          <w:tcPr>
            <w:tcW w:w="2175" w:type="pct"/>
            <w:gridSpan w:val="4"/>
            <w:tcBorders>
              <w:top w:val="single" w:color="auto" w:sz="12" w:space="0"/>
              <w:left w:val="nil"/>
              <w:bottom w:val="single" w:color="auto" w:sz="4" w:space="0"/>
              <w:right w:val="single" w:color="auto" w:sz="12"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整改情况</w:t>
            </w:r>
          </w:p>
        </w:tc>
      </w:tr>
      <w:tr>
        <w:tblPrEx>
          <w:tblCellMar>
            <w:top w:w="0" w:type="dxa"/>
            <w:left w:w="23" w:type="dxa"/>
            <w:bottom w:w="0" w:type="dxa"/>
            <w:right w:w="23" w:type="dxa"/>
          </w:tblCellMar>
        </w:tblPrEx>
        <w:trPr>
          <w:trHeight w:val="677" w:hRule="atLeast"/>
          <w:jc w:val="center"/>
        </w:trPr>
        <w:tc>
          <w:tcPr>
            <w:tcW w:w="706" w:type="pct"/>
            <w:vMerge w:val="continue"/>
            <w:tcBorders>
              <w:top w:val="single" w:color="auto" w:sz="4" w:space="0"/>
              <w:left w:val="single" w:color="auto" w:sz="12" w:space="0"/>
              <w:bottom w:val="single" w:color="000000" w:sz="4" w:space="0"/>
              <w:right w:val="single" w:color="auto" w:sz="4" w:space="0"/>
            </w:tcBorders>
            <w:vAlign w:val="center"/>
          </w:tcPr>
          <w:p>
            <w:pPr>
              <w:widowControl/>
              <w:jc w:val="left"/>
              <w:rPr>
                <w:rFonts w:ascii="Times New Roman" w:hAnsi="Times New Roman" w:eastAsia="仿宋_GB2312" w:cs="Times New Roman"/>
                <w:b/>
                <w:bCs/>
                <w:color w:val="000000"/>
                <w:sz w:val="20"/>
              </w:rPr>
            </w:pPr>
          </w:p>
        </w:tc>
        <w:tc>
          <w:tcPr>
            <w:tcW w:w="70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bCs/>
                <w:color w:val="000000"/>
                <w:sz w:val="20"/>
              </w:rPr>
            </w:pPr>
          </w:p>
        </w:tc>
        <w:tc>
          <w:tcPr>
            <w:tcW w:w="707" w:type="pct"/>
            <w:vMerge w:val="continue"/>
            <w:tcBorders>
              <w:left w:val="single" w:color="auto" w:sz="4" w:space="0"/>
              <w:bottom w:val="single" w:color="auto" w:sz="4" w:space="0"/>
              <w:right w:val="single" w:color="auto" w:sz="4" w:space="0"/>
            </w:tcBorders>
          </w:tcPr>
          <w:p>
            <w:pPr>
              <w:widowControl/>
              <w:jc w:val="left"/>
              <w:rPr>
                <w:rFonts w:ascii="Times New Roman" w:hAnsi="Times New Roman" w:eastAsia="仿宋_GB2312" w:cs="Times New Roman"/>
                <w:b/>
                <w:bCs/>
                <w:color w:val="000000"/>
                <w:sz w:val="20"/>
              </w:rPr>
            </w:pPr>
          </w:p>
        </w:tc>
        <w:tc>
          <w:tcPr>
            <w:tcW w:w="70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bCs/>
                <w:color w:val="000000"/>
                <w:sz w:val="20"/>
              </w:rPr>
            </w:pPr>
          </w:p>
        </w:tc>
        <w:tc>
          <w:tcPr>
            <w:tcW w:w="519" w:type="pct"/>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其中：未整改（处）</w:t>
            </w:r>
          </w:p>
        </w:tc>
        <w:tc>
          <w:tcPr>
            <w:tcW w:w="584" w:type="pct"/>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正在整改（处）</w:t>
            </w:r>
          </w:p>
        </w:tc>
        <w:tc>
          <w:tcPr>
            <w:tcW w:w="584" w:type="pct"/>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已落实度汛措施（处）</w:t>
            </w:r>
          </w:p>
        </w:tc>
        <w:tc>
          <w:tcPr>
            <w:tcW w:w="487" w:type="pct"/>
            <w:tcBorders>
              <w:top w:val="nil"/>
              <w:left w:val="single" w:color="auto" w:sz="4" w:space="0"/>
              <w:bottom w:val="single" w:color="auto" w:sz="4" w:space="0"/>
              <w:right w:val="single" w:color="auto" w:sz="12" w:space="0"/>
            </w:tcBorders>
            <w:vAlign w:val="center"/>
          </w:tcPr>
          <w:p>
            <w:pPr>
              <w:widowControl/>
              <w:jc w:val="center"/>
              <w:rPr>
                <w:rFonts w:ascii="Times New Roman" w:hAnsi="Times New Roman" w:eastAsia="仿宋_GB2312" w:cs="Times New Roman"/>
                <w:b/>
                <w:bCs/>
                <w:color w:val="000000"/>
                <w:sz w:val="20"/>
              </w:rPr>
            </w:pPr>
            <w:r>
              <w:rPr>
                <w:rFonts w:ascii="Times New Roman" w:hAnsi="Times New Roman" w:eastAsia="仿宋_GB2312" w:cs="Times New Roman"/>
                <w:b/>
                <w:bCs/>
                <w:color w:val="000000"/>
                <w:sz w:val="20"/>
              </w:rPr>
              <w:t>完成整改（处）</w:t>
            </w:r>
          </w:p>
        </w:tc>
      </w:tr>
      <w:tr>
        <w:tblPrEx>
          <w:tblCellMar>
            <w:top w:w="0" w:type="dxa"/>
            <w:left w:w="23" w:type="dxa"/>
            <w:bottom w:w="0" w:type="dxa"/>
            <w:right w:w="23" w:type="dxa"/>
          </w:tblCellMar>
        </w:tblPrEx>
        <w:trPr>
          <w:trHeight w:val="564" w:hRule="atLeast"/>
          <w:jc w:val="center"/>
        </w:trPr>
        <w:tc>
          <w:tcPr>
            <w:tcW w:w="706" w:type="pct"/>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706" w:type="pct"/>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707" w:type="pct"/>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707"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519" w:type="pct"/>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584" w:type="pct"/>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584" w:type="pct"/>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487" w:type="pct"/>
            <w:tcBorders>
              <w:top w:val="nil"/>
              <w:left w:val="nil"/>
              <w:bottom w:val="single" w:color="auto" w:sz="4" w:space="0"/>
              <w:right w:val="single" w:color="auto" w:sz="12" w:space="0"/>
            </w:tcBorders>
            <w:vAlign w:val="center"/>
          </w:tcPr>
          <w:p>
            <w:pPr>
              <w:widowControl/>
              <w:jc w:val="left"/>
              <w:rPr>
                <w:rFonts w:ascii="Times New Roman" w:hAnsi="Times New Roman" w:cs="Times New Roman"/>
                <w:kern w:val="0"/>
                <w:sz w:val="20"/>
              </w:rPr>
            </w:pPr>
          </w:p>
        </w:tc>
      </w:tr>
      <w:tr>
        <w:tblPrEx>
          <w:tblCellMar>
            <w:top w:w="0" w:type="dxa"/>
            <w:left w:w="23" w:type="dxa"/>
            <w:bottom w:w="0" w:type="dxa"/>
            <w:right w:w="23" w:type="dxa"/>
          </w:tblCellMar>
        </w:tblPrEx>
        <w:trPr>
          <w:trHeight w:val="564" w:hRule="atLeast"/>
          <w:jc w:val="center"/>
        </w:trPr>
        <w:tc>
          <w:tcPr>
            <w:tcW w:w="706" w:type="pct"/>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706" w:type="pct"/>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707"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707"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519" w:type="pct"/>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584" w:type="pct"/>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584" w:type="pct"/>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487" w:type="pct"/>
            <w:tcBorders>
              <w:top w:val="nil"/>
              <w:left w:val="nil"/>
              <w:bottom w:val="single" w:color="auto" w:sz="4" w:space="0"/>
              <w:right w:val="single" w:color="auto" w:sz="12" w:space="0"/>
            </w:tcBorders>
            <w:vAlign w:val="center"/>
          </w:tcPr>
          <w:p>
            <w:pPr>
              <w:widowControl/>
              <w:jc w:val="left"/>
              <w:rPr>
                <w:rFonts w:ascii="Times New Roman" w:hAnsi="Times New Roman" w:cs="Times New Roman"/>
                <w:kern w:val="0"/>
                <w:sz w:val="20"/>
              </w:rPr>
            </w:pPr>
          </w:p>
        </w:tc>
      </w:tr>
      <w:tr>
        <w:tblPrEx>
          <w:tblCellMar>
            <w:top w:w="0" w:type="dxa"/>
            <w:left w:w="23" w:type="dxa"/>
            <w:bottom w:w="0" w:type="dxa"/>
            <w:right w:w="23" w:type="dxa"/>
          </w:tblCellMar>
        </w:tblPrEx>
        <w:trPr>
          <w:trHeight w:val="564" w:hRule="atLeast"/>
          <w:jc w:val="center"/>
        </w:trPr>
        <w:tc>
          <w:tcPr>
            <w:tcW w:w="706" w:type="pct"/>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706" w:type="pct"/>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707" w:type="pct"/>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rPr>
            </w:pPr>
          </w:p>
        </w:tc>
        <w:tc>
          <w:tcPr>
            <w:tcW w:w="707"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519" w:type="pct"/>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584" w:type="pct"/>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584" w:type="pct"/>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0"/>
              </w:rPr>
            </w:pPr>
          </w:p>
        </w:tc>
        <w:tc>
          <w:tcPr>
            <w:tcW w:w="487" w:type="pct"/>
            <w:tcBorders>
              <w:top w:val="nil"/>
              <w:left w:val="nil"/>
              <w:bottom w:val="single" w:color="auto" w:sz="4" w:space="0"/>
              <w:right w:val="single" w:color="auto" w:sz="12" w:space="0"/>
            </w:tcBorders>
            <w:vAlign w:val="center"/>
          </w:tcPr>
          <w:p>
            <w:pPr>
              <w:widowControl/>
              <w:jc w:val="left"/>
              <w:rPr>
                <w:rFonts w:ascii="Times New Roman" w:hAnsi="Times New Roman" w:cs="Times New Roman"/>
                <w:kern w:val="0"/>
                <w:sz w:val="20"/>
              </w:rPr>
            </w:pPr>
          </w:p>
        </w:tc>
      </w:tr>
      <w:tr>
        <w:tblPrEx>
          <w:tblCellMar>
            <w:top w:w="0" w:type="dxa"/>
            <w:left w:w="23" w:type="dxa"/>
            <w:bottom w:w="0" w:type="dxa"/>
            <w:right w:w="23" w:type="dxa"/>
          </w:tblCellMar>
        </w:tblPrEx>
        <w:trPr>
          <w:trHeight w:val="564" w:hRule="atLeast"/>
          <w:jc w:val="center"/>
        </w:trPr>
        <w:tc>
          <w:tcPr>
            <w:tcW w:w="706" w:type="pct"/>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（省级检查）</w:t>
            </w:r>
          </w:p>
        </w:tc>
        <w:tc>
          <w:tcPr>
            <w:tcW w:w="706"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707"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color w:val="000000"/>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519"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58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58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rPr>
            </w:pPr>
          </w:p>
        </w:tc>
        <w:tc>
          <w:tcPr>
            <w:tcW w:w="487" w:type="pct"/>
            <w:tcBorders>
              <w:top w:val="single" w:color="auto" w:sz="4" w:space="0"/>
              <w:left w:val="nil"/>
              <w:bottom w:val="single" w:color="auto" w:sz="4" w:space="0"/>
              <w:right w:val="single" w:color="auto" w:sz="12" w:space="0"/>
            </w:tcBorders>
            <w:vAlign w:val="center"/>
          </w:tcPr>
          <w:p>
            <w:pPr>
              <w:jc w:val="center"/>
              <w:rPr>
                <w:rFonts w:ascii="Times New Roman" w:hAnsi="Times New Roman" w:eastAsia="仿宋_GB2312" w:cs="Times New Roman"/>
                <w:color w:val="000000"/>
              </w:rPr>
            </w:pPr>
          </w:p>
        </w:tc>
      </w:tr>
      <w:tr>
        <w:tblPrEx>
          <w:tblCellMar>
            <w:top w:w="0" w:type="dxa"/>
            <w:left w:w="23" w:type="dxa"/>
            <w:bottom w:w="0" w:type="dxa"/>
            <w:right w:w="23" w:type="dxa"/>
          </w:tblCellMar>
        </w:tblPrEx>
        <w:trPr>
          <w:trHeight w:val="564" w:hRule="atLeast"/>
          <w:jc w:val="center"/>
        </w:trPr>
        <w:tc>
          <w:tcPr>
            <w:tcW w:w="706" w:type="pct"/>
            <w:tcBorders>
              <w:top w:val="single" w:color="auto" w:sz="4" w:space="0"/>
              <w:left w:val="single" w:color="auto" w:sz="12" w:space="0"/>
              <w:bottom w:val="single" w:color="auto" w:sz="12"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合计</w:t>
            </w:r>
          </w:p>
        </w:tc>
        <w:tc>
          <w:tcPr>
            <w:tcW w:w="706" w:type="pct"/>
            <w:tcBorders>
              <w:top w:val="single" w:color="auto" w:sz="4" w:space="0"/>
              <w:left w:val="nil"/>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707" w:type="pct"/>
            <w:tcBorders>
              <w:top w:val="single" w:color="auto" w:sz="4" w:space="0"/>
              <w:left w:val="single" w:color="auto" w:sz="4" w:space="0"/>
              <w:bottom w:val="single" w:color="auto" w:sz="12" w:space="0"/>
              <w:right w:val="single" w:color="auto" w:sz="4" w:space="0"/>
            </w:tcBorders>
          </w:tcPr>
          <w:p>
            <w:pPr>
              <w:jc w:val="center"/>
              <w:rPr>
                <w:rFonts w:ascii="Times New Roman" w:hAnsi="Times New Roman" w:eastAsia="仿宋_GB2312" w:cs="Times New Roman"/>
                <w:color w:val="000000"/>
              </w:rPr>
            </w:pPr>
          </w:p>
        </w:tc>
        <w:tc>
          <w:tcPr>
            <w:tcW w:w="707" w:type="pct"/>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519" w:type="pct"/>
            <w:tcBorders>
              <w:top w:val="single" w:color="auto" w:sz="4" w:space="0"/>
              <w:left w:val="nil"/>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584" w:type="pct"/>
            <w:tcBorders>
              <w:top w:val="single" w:color="auto" w:sz="4" w:space="0"/>
              <w:left w:val="nil"/>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584" w:type="pct"/>
            <w:tcBorders>
              <w:top w:val="single" w:color="auto" w:sz="4" w:space="0"/>
              <w:left w:val="nil"/>
              <w:bottom w:val="single" w:color="auto" w:sz="12" w:space="0"/>
              <w:right w:val="single" w:color="auto" w:sz="4" w:space="0"/>
            </w:tcBorders>
            <w:vAlign w:val="center"/>
          </w:tcPr>
          <w:p>
            <w:pPr>
              <w:jc w:val="center"/>
              <w:rPr>
                <w:rFonts w:ascii="Times New Roman" w:hAnsi="Times New Roman" w:eastAsia="仿宋_GB2312" w:cs="Times New Roman"/>
                <w:color w:val="000000"/>
              </w:rPr>
            </w:pPr>
          </w:p>
        </w:tc>
        <w:tc>
          <w:tcPr>
            <w:tcW w:w="487" w:type="pct"/>
            <w:tcBorders>
              <w:top w:val="single" w:color="auto" w:sz="4" w:space="0"/>
              <w:left w:val="nil"/>
              <w:bottom w:val="single" w:color="auto" w:sz="12" w:space="0"/>
              <w:right w:val="single" w:color="auto" w:sz="12" w:space="0"/>
            </w:tcBorders>
            <w:vAlign w:val="center"/>
          </w:tcPr>
          <w:p>
            <w:pPr>
              <w:jc w:val="center"/>
              <w:rPr>
                <w:rFonts w:ascii="Times New Roman" w:hAnsi="Times New Roman" w:eastAsia="仿宋_GB2312" w:cs="Times New Roman"/>
                <w:color w:val="000000"/>
              </w:rPr>
            </w:pPr>
          </w:p>
        </w:tc>
      </w:tr>
    </w:tbl>
    <w:p>
      <w:pPr>
        <w:jc w:val="left"/>
        <w:rPr>
          <w:rFonts w:ascii="Times New Roman" w:hAnsi="Times New Roman" w:eastAsia="仿宋_GB2312" w:cs="Times New Roman"/>
          <w:b/>
          <w:bCs/>
          <w:color w:val="000000"/>
        </w:rPr>
      </w:pPr>
      <w:r>
        <w:rPr>
          <w:rFonts w:ascii="Times New Roman" w:hAnsi="Times New Roman" w:eastAsia="仿宋_GB2312" w:cs="Times New Roman"/>
          <w:b/>
          <w:bCs/>
          <w:color w:val="000000"/>
        </w:rPr>
        <w:t xml:space="preserve">                </w:t>
      </w:r>
    </w:p>
    <w:p>
      <w:pPr>
        <w:ind w:firstLine="207" w:firstLineChars="98"/>
        <w:jc w:val="left"/>
        <w:rPr>
          <w:rFonts w:ascii="Times New Roman" w:hAnsi="Times New Roman" w:eastAsia="仿宋_GB2312" w:cs="Times New Roman"/>
          <w:b/>
          <w:bCs/>
          <w:color w:val="000000"/>
          <w:szCs w:val="20"/>
        </w:rPr>
      </w:pPr>
      <w:r>
        <w:rPr>
          <w:rFonts w:ascii="Times New Roman" w:hAnsi="Times New Roman" w:eastAsia="仿宋_GB2312" w:cs="Times New Roman"/>
          <w:b/>
          <w:bCs/>
          <w:color w:val="000000"/>
        </w:rPr>
        <w:t xml:space="preserve">        填表人：                                    联系电话：</w:t>
      </w:r>
    </w:p>
    <w:p>
      <w:pPr>
        <w:rPr>
          <w:rFonts w:ascii="Times New Roman" w:hAnsi="Times New Roman" w:eastAsia="仿宋_GB2312" w:cs="Times New Roman"/>
          <w:color w:val="000000"/>
        </w:rPr>
      </w:pPr>
    </w:p>
    <w:p>
      <w:pPr>
        <w:ind w:firstLine="720" w:firstLineChars="3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填表说明：1.本表由省防指成员单位负责报送，有关成员单位应根据部门、行业实际制定详细检查表格；</w:t>
      </w:r>
    </w:p>
    <w:p>
      <w:pPr>
        <w:ind w:firstLine="1920" w:firstLineChars="800"/>
        <w:rPr>
          <w:rFonts w:ascii="Times New Roman" w:hAnsi="Times New Roman" w:eastAsia="仿宋_GB2312" w:cs="Times New Roman"/>
          <w:color w:val="000000"/>
          <w:sz w:val="24"/>
          <w:szCs w:val="24"/>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仿宋_GB2312" w:cs="Times New Roman"/>
          <w:color w:val="000000"/>
          <w:sz w:val="24"/>
          <w:szCs w:val="24"/>
        </w:rPr>
        <w:t>2.整改情况一栏，在未整改完成之前，成员单位每月月底前报省防指，特殊情况另行通知。</w:t>
      </w:r>
    </w:p>
    <w:p>
      <w:pPr>
        <w:rPr>
          <w:rFonts w:ascii="Times New Roman" w:hAnsi="Times New Roman" w:eastAsia="仿宋_GB2312" w:cs="Times New Roman"/>
          <w:color w:val="000000"/>
        </w:rPr>
      </w:pPr>
      <w:bookmarkStart w:id="0" w:name="_GoBack"/>
      <w:bookmarkEnd w:id="0"/>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027295"/>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36"/>
    <w:rsid w:val="00013773"/>
    <w:rsid w:val="00021B2B"/>
    <w:rsid w:val="0002676E"/>
    <w:rsid w:val="000307A8"/>
    <w:rsid w:val="00036A23"/>
    <w:rsid w:val="00055FDF"/>
    <w:rsid w:val="0006000B"/>
    <w:rsid w:val="00066675"/>
    <w:rsid w:val="00074156"/>
    <w:rsid w:val="0007591E"/>
    <w:rsid w:val="00075E22"/>
    <w:rsid w:val="00085FBB"/>
    <w:rsid w:val="000875B9"/>
    <w:rsid w:val="000979BC"/>
    <w:rsid w:val="000A0D44"/>
    <w:rsid w:val="000A1B16"/>
    <w:rsid w:val="000A1F3D"/>
    <w:rsid w:val="000A7DB4"/>
    <w:rsid w:val="000B16BA"/>
    <w:rsid w:val="000B5E71"/>
    <w:rsid w:val="000C4536"/>
    <w:rsid w:val="000D36DF"/>
    <w:rsid w:val="000D6504"/>
    <w:rsid w:val="000D6B0A"/>
    <w:rsid w:val="000E1ACD"/>
    <w:rsid w:val="000E7AB2"/>
    <w:rsid w:val="000F01CE"/>
    <w:rsid w:val="00101ADB"/>
    <w:rsid w:val="001029BE"/>
    <w:rsid w:val="001073CB"/>
    <w:rsid w:val="001165C5"/>
    <w:rsid w:val="00117FB9"/>
    <w:rsid w:val="001237C6"/>
    <w:rsid w:val="00130A1E"/>
    <w:rsid w:val="00132CB9"/>
    <w:rsid w:val="00141ABB"/>
    <w:rsid w:val="00154B0C"/>
    <w:rsid w:val="00162392"/>
    <w:rsid w:val="001632DB"/>
    <w:rsid w:val="001849D8"/>
    <w:rsid w:val="00184DF7"/>
    <w:rsid w:val="00187C68"/>
    <w:rsid w:val="00193BD2"/>
    <w:rsid w:val="001B0527"/>
    <w:rsid w:val="001D550C"/>
    <w:rsid w:val="00200EDC"/>
    <w:rsid w:val="00207769"/>
    <w:rsid w:val="00221D8D"/>
    <w:rsid w:val="00227169"/>
    <w:rsid w:val="00230476"/>
    <w:rsid w:val="00235F30"/>
    <w:rsid w:val="0024204F"/>
    <w:rsid w:val="0026399F"/>
    <w:rsid w:val="00264907"/>
    <w:rsid w:val="00264B0B"/>
    <w:rsid w:val="00272A5B"/>
    <w:rsid w:val="00273329"/>
    <w:rsid w:val="002838B9"/>
    <w:rsid w:val="00285D63"/>
    <w:rsid w:val="0029483E"/>
    <w:rsid w:val="002A5474"/>
    <w:rsid w:val="002A58E3"/>
    <w:rsid w:val="002A63CA"/>
    <w:rsid w:val="002B111A"/>
    <w:rsid w:val="002B5B66"/>
    <w:rsid w:val="002B7B7B"/>
    <w:rsid w:val="002D24F6"/>
    <w:rsid w:val="002E3A9C"/>
    <w:rsid w:val="002E521C"/>
    <w:rsid w:val="002F1801"/>
    <w:rsid w:val="002F58E4"/>
    <w:rsid w:val="00302415"/>
    <w:rsid w:val="003109D1"/>
    <w:rsid w:val="003267D3"/>
    <w:rsid w:val="00330AAE"/>
    <w:rsid w:val="0033715D"/>
    <w:rsid w:val="003670AD"/>
    <w:rsid w:val="003731AE"/>
    <w:rsid w:val="003923BB"/>
    <w:rsid w:val="00396733"/>
    <w:rsid w:val="0039728A"/>
    <w:rsid w:val="003A0720"/>
    <w:rsid w:val="003A2A96"/>
    <w:rsid w:val="003A6584"/>
    <w:rsid w:val="003B187E"/>
    <w:rsid w:val="003B54E8"/>
    <w:rsid w:val="003D2F98"/>
    <w:rsid w:val="003D6961"/>
    <w:rsid w:val="003E01B6"/>
    <w:rsid w:val="003E0447"/>
    <w:rsid w:val="003F3113"/>
    <w:rsid w:val="004143D8"/>
    <w:rsid w:val="00417B4D"/>
    <w:rsid w:val="00427F0C"/>
    <w:rsid w:val="00432616"/>
    <w:rsid w:val="0044192B"/>
    <w:rsid w:val="004711BE"/>
    <w:rsid w:val="00476480"/>
    <w:rsid w:val="00483A4C"/>
    <w:rsid w:val="004A60D3"/>
    <w:rsid w:val="004A7F91"/>
    <w:rsid w:val="004C0608"/>
    <w:rsid w:val="004C0A3C"/>
    <w:rsid w:val="004C16EC"/>
    <w:rsid w:val="004D5018"/>
    <w:rsid w:val="004E0741"/>
    <w:rsid w:val="004E1D13"/>
    <w:rsid w:val="004E448B"/>
    <w:rsid w:val="004E485C"/>
    <w:rsid w:val="004E4D0A"/>
    <w:rsid w:val="004E51F0"/>
    <w:rsid w:val="004F2C63"/>
    <w:rsid w:val="00501107"/>
    <w:rsid w:val="0050377A"/>
    <w:rsid w:val="00504BD0"/>
    <w:rsid w:val="00510EA6"/>
    <w:rsid w:val="00514C54"/>
    <w:rsid w:val="00516F84"/>
    <w:rsid w:val="0052143B"/>
    <w:rsid w:val="00522D45"/>
    <w:rsid w:val="00536435"/>
    <w:rsid w:val="00553692"/>
    <w:rsid w:val="00563F76"/>
    <w:rsid w:val="005955CA"/>
    <w:rsid w:val="005A3A92"/>
    <w:rsid w:val="005B17D5"/>
    <w:rsid w:val="005B3CB3"/>
    <w:rsid w:val="005B6A1B"/>
    <w:rsid w:val="005D72D8"/>
    <w:rsid w:val="005E567A"/>
    <w:rsid w:val="005E570C"/>
    <w:rsid w:val="005F14AA"/>
    <w:rsid w:val="005F4C01"/>
    <w:rsid w:val="005F5302"/>
    <w:rsid w:val="005F694F"/>
    <w:rsid w:val="006008E4"/>
    <w:rsid w:val="00600990"/>
    <w:rsid w:val="00612AA9"/>
    <w:rsid w:val="00614E4B"/>
    <w:rsid w:val="00646485"/>
    <w:rsid w:val="006562F5"/>
    <w:rsid w:val="00660136"/>
    <w:rsid w:val="00675101"/>
    <w:rsid w:val="00682501"/>
    <w:rsid w:val="00684F02"/>
    <w:rsid w:val="006970C8"/>
    <w:rsid w:val="00697741"/>
    <w:rsid w:val="006A1D07"/>
    <w:rsid w:val="006C221D"/>
    <w:rsid w:val="006D102E"/>
    <w:rsid w:val="006D535E"/>
    <w:rsid w:val="006E1BF2"/>
    <w:rsid w:val="006F1FA7"/>
    <w:rsid w:val="006F6630"/>
    <w:rsid w:val="0070446A"/>
    <w:rsid w:val="00711D3E"/>
    <w:rsid w:val="00714F55"/>
    <w:rsid w:val="00726B17"/>
    <w:rsid w:val="00730C3C"/>
    <w:rsid w:val="00735E3B"/>
    <w:rsid w:val="00737805"/>
    <w:rsid w:val="00737B81"/>
    <w:rsid w:val="007400AE"/>
    <w:rsid w:val="00752446"/>
    <w:rsid w:val="00765996"/>
    <w:rsid w:val="0077395D"/>
    <w:rsid w:val="00781390"/>
    <w:rsid w:val="00781413"/>
    <w:rsid w:val="007820C9"/>
    <w:rsid w:val="00782C21"/>
    <w:rsid w:val="007842C1"/>
    <w:rsid w:val="00791E42"/>
    <w:rsid w:val="00791EC6"/>
    <w:rsid w:val="007928B3"/>
    <w:rsid w:val="00797B84"/>
    <w:rsid w:val="007A5517"/>
    <w:rsid w:val="007A5AFF"/>
    <w:rsid w:val="007A5DC3"/>
    <w:rsid w:val="007B4852"/>
    <w:rsid w:val="007C3992"/>
    <w:rsid w:val="007C43D1"/>
    <w:rsid w:val="007C537D"/>
    <w:rsid w:val="007C5A90"/>
    <w:rsid w:val="007E01A1"/>
    <w:rsid w:val="007F65E4"/>
    <w:rsid w:val="007F6E5C"/>
    <w:rsid w:val="008009D9"/>
    <w:rsid w:val="008040B8"/>
    <w:rsid w:val="00834443"/>
    <w:rsid w:val="00836A04"/>
    <w:rsid w:val="008375A5"/>
    <w:rsid w:val="00853736"/>
    <w:rsid w:val="00856071"/>
    <w:rsid w:val="008619CD"/>
    <w:rsid w:val="0086420B"/>
    <w:rsid w:val="00864288"/>
    <w:rsid w:val="00864BFC"/>
    <w:rsid w:val="0087433B"/>
    <w:rsid w:val="00875764"/>
    <w:rsid w:val="00887794"/>
    <w:rsid w:val="00896E36"/>
    <w:rsid w:val="008A4235"/>
    <w:rsid w:val="008A6E45"/>
    <w:rsid w:val="008A73A7"/>
    <w:rsid w:val="008B24FF"/>
    <w:rsid w:val="008C4A85"/>
    <w:rsid w:val="008D2A0E"/>
    <w:rsid w:val="008E0728"/>
    <w:rsid w:val="00905D84"/>
    <w:rsid w:val="009173DC"/>
    <w:rsid w:val="0091753B"/>
    <w:rsid w:val="00943D97"/>
    <w:rsid w:val="00950E48"/>
    <w:rsid w:val="0095572F"/>
    <w:rsid w:val="00956B83"/>
    <w:rsid w:val="009771D2"/>
    <w:rsid w:val="00977258"/>
    <w:rsid w:val="00977D9E"/>
    <w:rsid w:val="00977FFD"/>
    <w:rsid w:val="009805F3"/>
    <w:rsid w:val="009809CA"/>
    <w:rsid w:val="009904FF"/>
    <w:rsid w:val="00994117"/>
    <w:rsid w:val="009A144D"/>
    <w:rsid w:val="009B288A"/>
    <w:rsid w:val="009C4F28"/>
    <w:rsid w:val="009C593D"/>
    <w:rsid w:val="009D159C"/>
    <w:rsid w:val="009D36F2"/>
    <w:rsid w:val="00A01F72"/>
    <w:rsid w:val="00A14676"/>
    <w:rsid w:val="00A2201A"/>
    <w:rsid w:val="00A30B99"/>
    <w:rsid w:val="00A3727D"/>
    <w:rsid w:val="00A379C4"/>
    <w:rsid w:val="00A41F22"/>
    <w:rsid w:val="00A62282"/>
    <w:rsid w:val="00A725F0"/>
    <w:rsid w:val="00A72F9B"/>
    <w:rsid w:val="00A84547"/>
    <w:rsid w:val="00A9186C"/>
    <w:rsid w:val="00A9461D"/>
    <w:rsid w:val="00A97AC6"/>
    <w:rsid w:val="00AB67A3"/>
    <w:rsid w:val="00AC1194"/>
    <w:rsid w:val="00AC6EAA"/>
    <w:rsid w:val="00AC7E3C"/>
    <w:rsid w:val="00AD1587"/>
    <w:rsid w:val="00AD22B5"/>
    <w:rsid w:val="00AE795D"/>
    <w:rsid w:val="00AF4A75"/>
    <w:rsid w:val="00B018B9"/>
    <w:rsid w:val="00B03F62"/>
    <w:rsid w:val="00B059C2"/>
    <w:rsid w:val="00B15520"/>
    <w:rsid w:val="00B236D1"/>
    <w:rsid w:val="00B2446B"/>
    <w:rsid w:val="00B26864"/>
    <w:rsid w:val="00B271B7"/>
    <w:rsid w:val="00B30045"/>
    <w:rsid w:val="00B33CFC"/>
    <w:rsid w:val="00B3485B"/>
    <w:rsid w:val="00B3674B"/>
    <w:rsid w:val="00B5201B"/>
    <w:rsid w:val="00B61E29"/>
    <w:rsid w:val="00B72FB3"/>
    <w:rsid w:val="00B74AB7"/>
    <w:rsid w:val="00B76004"/>
    <w:rsid w:val="00B76C90"/>
    <w:rsid w:val="00B84430"/>
    <w:rsid w:val="00B84DD7"/>
    <w:rsid w:val="00B85F94"/>
    <w:rsid w:val="00B962DF"/>
    <w:rsid w:val="00BA2851"/>
    <w:rsid w:val="00BA4296"/>
    <w:rsid w:val="00BB42AF"/>
    <w:rsid w:val="00BC6239"/>
    <w:rsid w:val="00BC658C"/>
    <w:rsid w:val="00BC7212"/>
    <w:rsid w:val="00BE7166"/>
    <w:rsid w:val="00BE7327"/>
    <w:rsid w:val="00C0234B"/>
    <w:rsid w:val="00C10A9A"/>
    <w:rsid w:val="00C163D0"/>
    <w:rsid w:val="00C24AA9"/>
    <w:rsid w:val="00C359F5"/>
    <w:rsid w:val="00C37336"/>
    <w:rsid w:val="00C37C26"/>
    <w:rsid w:val="00C403EA"/>
    <w:rsid w:val="00C43CD5"/>
    <w:rsid w:val="00C63BEB"/>
    <w:rsid w:val="00C64E88"/>
    <w:rsid w:val="00C74306"/>
    <w:rsid w:val="00C845D8"/>
    <w:rsid w:val="00C90237"/>
    <w:rsid w:val="00CA2207"/>
    <w:rsid w:val="00CA4BF0"/>
    <w:rsid w:val="00CA6DFB"/>
    <w:rsid w:val="00CB2210"/>
    <w:rsid w:val="00CB31C6"/>
    <w:rsid w:val="00CC1F0B"/>
    <w:rsid w:val="00CD13DD"/>
    <w:rsid w:val="00CD3285"/>
    <w:rsid w:val="00CD53BB"/>
    <w:rsid w:val="00CE35FD"/>
    <w:rsid w:val="00CE54F6"/>
    <w:rsid w:val="00CE6526"/>
    <w:rsid w:val="00D00605"/>
    <w:rsid w:val="00D035BB"/>
    <w:rsid w:val="00D31007"/>
    <w:rsid w:val="00D4415C"/>
    <w:rsid w:val="00D63CB4"/>
    <w:rsid w:val="00D64897"/>
    <w:rsid w:val="00D74193"/>
    <w:rsid w:val="00D77D4A"/>
    <w:rsid w:val="00D83D74"/>
    <w:rsid w:val="00D91359"/>
    <w:rsid w:val="00D9791E"/>
    <w:rsid w:val="00DA3951"/>
    <w:rsid w:val="00DA7F41"/>
    <w:rsid w:val="00DB74DC"/>
    <w:rsid w:val="00DB79F5"/>
    <w:rsid w:val="00DC6BE7"/>
    <w:rsid w:val="00DD370B"/>
    <w:rsid w:val="00DE12DB"/>
    <w:rsid w:val="00DE3EEA"/>
    <w:rsid w:val="00DF0C11"/>
    <w:rsid w:val="00DF2406"/>
    <w:rsid w:val="00DF49DF"/>
    <w:rsid w:val="00DF5AC2"/>
    <w:rsid w:val="00E339C0"/>
    <w:rsid w:val="00E34356"/>
    <w:rsid w:val="00E4291F"/>
    <w:rsid w:val="00E565AA"/>
    <w:rsid w:val="00E56DE1"/>
    <w:rsid w:val="00E57501"/>
    <w:rsid w:val="00E77FAD"/>
    <w:rsid w:val="00E90956"/>
    <w:rsid w:val="00E97614"/>
    <w:rsid w:val="00EA2E74"/>
    <w:rsid w:val="00EB1BF6"/>
    <w:rsid w:val="00EB3BF2"/>
    <w:rsid w:val="00EB7D60"/>
    <w:rsid w:val="00EC0938"/>
    <w:rsid w:val="00ED3360"/>
    <w:rsid w:val="00EE2234"/>
    <w:rsid w:val="00EF7332"/>
    <w:rsid w:val="00EF774D"/>
    <w:rsid w:val="00F1572D"/>
    <w:rsid w:val="00F17AD3"/>
    <w:rsid w:val="00F230C9"/>
    <w:rsid w:val="00F33EDC"/>
    <w:rsid w:val="00F35B31"/>
    <w:rsid w:val="00F37819"/>
    <w:rsid w:val="00F41F1D"/>
    <w:rsid w:val="00F55044"/>
    <w:rsid w:val="00F57CDB"/>
    <w:rsid w:val="00F6156C"/>
    <w:rsid w:val="00F61A44"/>
    <w:rsid w:val="00F62F45"/>
    <w:rsid w:val="00F65405"/>
    <w:rsid w:val="00F753EB"/>
    <w:rsid w:val="00F77243"/>
    <w:rsid w:val="00F8607A"/>
    <w:rsid w:val="00F91262"/>
    <w:rsid w:val="00F91840"/>
    <w:rsid w:val="00F93143"/>
    <w:rsid w:val="00F941E9"/>
    <w:rsid w:val="00FA1A27"/>
    <w:rsid w:val="00FA75ED"/>
    <w:rsid w:val="00FD39A3"/>
    <w:rsid w:val="00FE1AC6"/>
    <w:rsid w:val="00FE22D9"/>
    <w:rsid w:val="00FE679A"/>
    <w:rsid w:val="00FF1E53"/>
    <w:rsid w:val="00FF4454"/>
    <w:rsid w:val="00FF6612"/>
    <w:rsid w:val="016F658F"/>
    <w:rsid w:val="017944B9"/>
    <w:rsid w:val="01C147B8"/>
    <w:rsid w:val="02565F79"/>
    <w:rsid w:val="027D33D2"/>
    <w:rsid w:val="029A2364"/>
    <w:rsid w:val="0309749D"/>
    <w:rsid w:val="031B5F7A"/>
    <w:rsid w:val="03522752"/>
    <w:rsid w:val="03680160"/>
    <w:rsid w:val="039435DE"/>
    <w:rsid w:val="03E1719E"/>
    <w:rsid w:val="03F93034"/>
    <w:rsid w:val="041239D1"/>
    <w:rsid w:val="042B4DAD"/>
    <w:rsid w:val="049F577C"/>
    <w:rsid w:val="04A15B93"/>
    <w:rsid w:val="04D0182B"/>
    <w:rsid w:val="05934C0C"/>
    <w:rsid w:val="06217290"/>
    <w:rsid w:val="065E7F45"/>
    <w:rsid w:val="069C58A5"/>
    <w:rsid w:val="06D278D6"/>
    <w:rsid w:val="07075A59"/>
    <w:rsid w:val="070F0C85"/>
    <w:rsid w:val="072D3531"/>
    <w:rsid w:val="077D447F"/>
    <w:rsid w:val="07EC5F62"/>
    <w:rsid w:val="07F41845"/>
    <w:rsid w:val="08316D2A"/>
    <w:rsid w:val="084A056B"/>
    <w:rsid w:val="086E6CD4"/>
    <w:rsid w:val="08AF5E45"/>
    <w:rsid w:val="08C33D22"/>
    <w:rsid w:val="08FB0A4F"/>
    <w:rsid w:val="096E71F6"/>
    <w:rsid w:val="09B35DD6"/>
    <w:rsid w:val="09EB69AB"/>
    <w:rsid w:val="0A1E0029"/>
    <w:rsid w:val="0A6437B8"/>
    <w:rsid w:val="0A7D716D"/>
    <w:rsid w:val="0A7E56F6"/>
    <w:rsid w:val="0A905B78"/>
    <w:rsid w:val="0B7A19B0"/>
    <w:rsid w:val="0B865477"/>
    <w:rsid w:val="0BA25163"/>
    <w:rsid w:val="0BC00009"/>
    <w:rsid w:val="0C066CA6"/>
    <w:rsid w:val="0CBE70FE"/>
    <w:rsid w:val="0CE46B10"/>
    <w:rsid w:val="0D220BE6"/>
    <w:rsid w:val="0D685DCC"/>
    <w:rsid w:val="0D7003D5"/>
    <w:rsid w:val="0D984CA7"/>
    <w:rsid w:val="0DC13F8E"/>
    <w:rsid w:val="0DE30D9F"/>
    <w:rsid w:val="0DE622D3"/>
    <w:rsid w:val="0E033BB8"/>
    <w:rsid w:val="0E0853AA"/>
    <w:rsid w:val="0E291B9D"/>
    <w:rsid w:val="0E3B1BF8"/>
    <w:rsid w:val="0E7528EB"/>
    <w:rsid w:val="0EA831C5"/>
    <w:rsid w:val="0EE17F72"/>
    <w:rsid w:val="0EEF4AA5"/>
    <w:rsid w:val="0EFF7ABE"/>
    <w:rsid w:val="10125A2E"/>
    <w:rsid w:val="103775C6"/>
    <w:rsid w:val="107A666F"/>
    <w:rsid w:val="10BF0BD1"/>
    <w:rsid w:val="10F67C49"/>
    <w:rsid w:val="11193A74"/>
    <w:rsid w:val="1122625A"/>
    <w:rsid w:val="112E245C"/>
    <w:rsid w:val="113A3F68"/>
    <w:rsid w:val="11707A64"/>
    <w:rsid w:val="117B38BF"/>
    <w:rsid w:val="119D72A4"/>
    <w:rsid w:val="11A87F2B"/>
    <w:rsid w:val="12040569"/>
    <w:rsid w:val="122077CB"/>
    <w:rsid w:val="123E6B94"/>
    <w:rsid w:val="1246742A"/>
    <w:rsid w:val="126D6158"/>
    <w:rsid w:val="127A7A8F"/>
    <w:rsid w:val="12E6223B"/>
    <w:rsid w:val="130E7695"/>
    <w:rsid w:val="137E1403"/>
    <w:rsid w:val="13EA17D2"/>
    <w:rsid w:val="14143D57"/>
    <w:rsid w:val="141B64AC"/>
    <w:rsid w:val="141D6B42"/>
    <w:rsid w:val="142849D4"/>
    <w:rsid w:val="14C428ED"/>
    <w:rsid w:val="14E2462E"/>
    <w:rsid w:val="14F84387"/>
    <w:rsid w:val="154B5720"/>
    <w:rsid w:val="15535252"/>
    <w:rsid w:val="15542D8C"/>
    <w:rsid w:val="157353EA"/>
    <w:rsid w:val="15B56F89"/>
    <w:rsid w:val="15F37B00"/>
    <w:rsid w:val="1649312D"/>
    <w:rsid w:val="16C027F9"/>
    <w:rsid w:val="16D24A16"/>
    <w:rsid w:val="17446A6E"/>
    <w:rsid w:val="177C78BA"/>
    <w:rsid w:val="17AD627D"/>
    <w:rsid w:val="17D64359"/>
    <w:rsid w:val="18087AC7"/>
    <w:rsid w:val="180D1000"/>
    <w:rsid w:val="18370701"/>
    <w:rsid w:val="18C8119E"/>
    <w:rsid w:val="19524CDD"/>
    <w:rsid w:val="19756847"/>
    <w:rsid w:val="19BA4E94"/>
    <w:rsid w:val="19C52B32"/>
    <w:rsid w:val="19D47603"/>
    <w:rsid w:val="19DB0E61"/>
    <w:rsid w:val="1AA61DAD"/>
    <w:rsid w:val="1B6813A8"/>
    <w:rsid w:val="1B81336D"/>
    <w:rsid w:val="1B9509FD"/>
    <w:rsid w:val="1B951A69"/>
    <w:rsid w:val="1BB45CD2"/>
    <w:rsid w:val="1BD758E1"/>
    <w:rsid w:val="1BDB49C6"/>
    <w:rsid w:val="1BDE70FE"/>
    <w:rsid w:val="1CBA23FB"/>
    <w:rsid w:val="1CE94D02"/>
    <w:rsid w:val="1D4A77FA"/>
    <w:rsid w:val="1D6675C5"/>
    <w:rsid w:val="1D95245E"/>
    <w:rsid w:val="1DB6122D"/>
    <w:rsid w:val="1E1F58C4"/>
    <w:rsid w:val="1E2B6268"/>
    <w:rsid w:val="1E474A74"/>
    <w:rsid w:val="1E9C3228"/>
    <w:rsid w:val="1F2B0659"/>
    <w:rsid w:val="1F403330"/>
    <w:rsid w:val="1F5F0E62"/>
    <w:rsid w:val="1F5F0F1D"/>
    <w:rsid w:val="1FD40613"/>
    <w:rsid w:val="1FE81CE9"/>
    <w:rsid w:val="200C19CD"/>
    <w:rsid w:val="2014202E"/>
    <w:rsid w:val="20325DC1"/>
    <w:rsid w:val="20873097"/>
    <w:rsid w:val="20CB7F83"/>
    <w:rsid w:val="20D66643"/>
    <w:rsid w:val="20DD3B29"/>
    <w:rsid w:val="21315DB9"/>
    <w:rsid w:val="2143719D"/>
    <w:rsid w:val="21AC74F6"/>
    <w:rsid w:val="21D146FF"/>
    <w:rsid w:val="22E8764F"/>
    <w:rsid w:val="22F36883"/>
    <w:rsid w:val="233D47F6"/>
    <w:rsid w:val="236D4528"/>
    <w:rsid w:val="238916C7"/>
    <w:rsid w:val="238922D1"/>
    <w:rsid w:val="238E7A39"/>
    <w:rsid w:val="23E7739A"/>
    <w:rsid w:val="245E3C72"/>
    <w:rsid w:val="246E3050"/>
    <w:rsid w:val="24727A4A"/>
    <w:rsid w:val="248C3B76"/>
    <w:rsid w:val="24AE785B"/>
    <w:rsid w:val="250861D3"/>
    <w:rsid w:val="251D7537"/>
    <w:rsid w:val="256825A7"/>
    <w:rsid w:val="25695FF4"/>
    <w:rsid w:val="257A2627"/>
    <w:rsid w:val="25A81A47"/>
    <w:rsid w:val="25B70FC3"/>
    <w:rsid w:val="265D4168"/>
    <w:rsid w:val="26A2212B"/>
    <w:rsid w:val="26D56743"/>
    <w:rsid w:val="27082825"/>
    <w:rsid w:val="28CB0560"/>
    <w:rsid w:val="28CC676F"/>
    <w:rsid w:val="28D241A2"/>
    <w:rsid w:val="290C52CC"/>
    <w:rsid w:val="2926355D"/>
    <w:rsid w:val="29491E51"/>
    <w:rsid w:val="29A3710B"/>
    <w:rsid w:val="29BE1C0F"/>
    <w:rsid w:val="29C04987"/>
    <w:rsid w:val="2A095167"/>
    <w:rsid w:val="2A4902DD"/>
    <w:rsid w:val="2A754859"/>
    <w:rsid w:val="2AA70A5F"/>
    <w:rsid w:val="2ACF5610"/>
    <w:rsid w:val="2AD751ED"/>
    <w:rsid w:val="2B2C5448"/>
    <w:rsid w:val="2B3114B3"/>
    <w:rsid w:val="2B8105B3"/>
    <w:rsid w:val="2BB86840"/>
    <w:rsid w:val="2BCC362C"/>
    <w:rsid w:val="2C2D4DC4"/>
    <w:rsid w:val="2C39059D"/>
    <w:rsid w:val="2CA879E9"/>
    <w:rsid w:val="2CFF53CD"/>
    <w:rsid w:val="2D304C05"/>
    <w:rsid w:val="2D3B60F1"/>
    <w:rsid w:val="2D5E419B"/>
    <w:rsid w:val="2D6951BB"/>
    <w:rsid w:val="2E521567"/>
    <w:rsid w:val="2E9060C6"/>
    <w:rsid w:val="2ED979C6"/>
    <w:rsid w:val="2F154446"/>
    <w:rsid w:val="2F3044D1"/>
    <w:rsid w:val="2F6E2AD0"/>
    <w:rsid w:val="2FA13956"/>
    <w:rsid w:val="2FC65A23"/>
    <w:rsid w:val="2FD806D2"/>
    <w:rsid w:val="3034765D"/>
    <w:rsid w:val="3068694C"/>
    <w:rsid w:val="30856AE6"/>
    <w:rsid w:val="30F609EC"/>
    <w:rsid w:val="30F63B5D"/>
    <w:rsid w:val="312815D7"/>
    <w:rsid w:val="313235CF"/>
    <w:rsid w:val="3162461D"/>
    <w:rsid w:val="31CC1BC1"/>
    <w:rsid w:val="328D61D2"/>
    <w:rsid w:val="32C2036E"/>
    <w:rsid w:val="330F10EA"/>
    <w:rsid w:val="3318108F"/>
    <w:rsid w:val="335A2DCB"/>
    <w:rsid w:val="33977D3F"/>
    <w:rsid w:val="33E4119A"/>
    <w:rsid w:val="33E62524"/>
    <w:rsid w:val="33FF7A73"/>
    <w:rsid w:val="34070D67"/>
    <w:rsid w:val="34127820"/>
    <w:rsid w:val="34A10FA1"/>
    <w:rsid w:val="34C16A40"/>
    <w:rsid w:val="352D2975"/>
    <w:rsid w:val="35662F17"/>
    <w:rsid w:val="359611EF"/>
    <w:rsid w:val="35B16D47"/>
    <w:rsid w:val="35B92C6F"/>
    <w:rsid w:val="35FF5F79"/>
    <w:rsid w:val="360C0FD5"/>
    <w:rsid w:val="362F604A"/>
    <w:rsid w:val="366E6F1A"/>
    <w:rsid w:val="36806D51"/>
    <w:rsid w:val="36B53A17"/>
    <w:rsid w:val="36ED09E7"/>
    <w:rsid w:val="37054B15"/>
    <w:rsid w:val="372B675A"/>
    <w:rsid w:val="372D4DE3"/>
    <w:rsid w:val="37A64BA9"/>
    <w:rsid w:val="37B55756"/>
    <w:rsid w:val="383530E4"/>
    <w:rsid w:val="383866FD"/>
    <w:rsid w:val="387D132D"/>
    <w:rsid w:val="38A862AE"/>
    <w:rsid w:val="38D363DE"/>
    <w:rsid w:val="38EC0D96"/>
    <w:rsid w:val="38F07EA9"/>
    <w:rsid w:val="38FA67BB"/>
    <w:rsid w:val="3900247C"/>
    <w:rsid w:val="39482C25"/>
    <w:rsid w:val="39597FEF"/>
    <w:rsid w:val="39ED0741"/>
    <w:rsid w:val="39F85EBD"/>
    <w:rsid w:val="3A0E06A5"/>
    <w:rsid w:val="3A4818AC"/>
    <w:rsid w:val="3A483E73"/>
    <w:rsid w:val="3ACF1A6C"/>
    <w:rsid w:val="3AE04661"/>
    <w:rsid w:val="3B163E31"/>
    <w:rsid w:val="3B4C2987"/>
    <w:rsid w:val="3BCA7BD9"/>
    <w:rsid w:val="3CBF52A6"/>
    <w:rsid w:val="3CF2279F"/>
    <w:rsid w:val="3D3D4EDD"/>
    <w:rsid w:val="3D405108"/>
    <w:rsid w:val="3DB2574B"/>
    <w:rsid w:val="3DD97B31"/>
    <w:rsid w:val="3E15797A"/>
    <w:rsid w:val="3E193F39"/>
    <w:rsid w:val="3E5B663F"/>
    <w:rsid w:val="3EA5593C"/>
    <w:rsid w:val="3F0702DA"/>
    <w:rsid w:val="3F176860"/>
    <w:rsid w:val="3F1E702E"/>
    <w:rsid w:val="3F395FEA"/>
    <w:rsid w:val="3F40510E"/>
    <w:rsid w:val="3F625F9C"/>
    <w:rsid w:val="3F850514"/>
    <w:rsid w:val="3FD1629C"/>
    <w:rsid w:val="40841850"/>
    <w:rsid w:val="409C6588"/>
    <w:rsid w:val="40F91A4A"/>
    <w:rsid w:val="413614C8"/>
    <w:rsid w:val="414B3925"/>
    <w:rsid w:val="418C180F"/>
    <w:rsid w:val="41BC71EB"/>
    <w:rsid w:val="41DD40F0"/>
    <w:rsid w:val="41E92111"/>
    <w:rsid w:val="42873C07"/>
    <w:rsid w:val="42D0788E"/>
    <w:rsid w:val="42D4771B"/>
    <w:rsid w:val="42F45729"/>
    <w:rsid w:val="4307638D"/>
    <w:rsid w:val="435B0754"/>
    <w:rsid w:val="43A130EF"/>
    <w:rsid w:val="442F6D1E"/>
    <w:rsid w:val="443018F8"/>
    <w:rsid w:val="444D7AB2"/>
    <w:rsid w:val="446114A1"/>
    <w:rsid w:val="44DD16D8"/>
    <w:rsid w:val="44F5565F"/>
    <w:rsid w:val="44FC3B7A"/>
    <w:rsid w:val="450F5899"/>
    <w:rsid w:val="45423384"/>
    <w:rsid w:val="454D26E4"/>
    <w:rsid w:val="45946334"/>
    <w:rsid w:val="45E166CF"/>
    <w:rsid w:val="460E2CC7"/>
    <w:rsid w:val="462A4893"/>
    <w:rsid w:val="46400A0A"/>
    <w:rsid w:val="46AA0073"/>
    <w:rsid w:val="46C11D52"/>
    <w:rsid w:val="46C926A6"/>
    <w:rsid w:val="46E16F31"/>
    <w:rsid w:val="46EC17E9"/>
    <w:rsid w:val="47203062"/>
    <w:rsid w:val="47534962"/>
    <w:rsid w:val="477035F1"/>
    <w:rsid w:val="4791406C"/>
    <w:rsid w:val="48441D72"/>
    <w:rsid w:val="488C0394"/>
    <w:rsid w:val="48DC4A42"/>
    <w:rsid w:val="492A739A"/>
    <w:rsid w:val="49452BC8"/>
    <w:rsid w:val="49A96E28"/>
    <w:rsid w:val="49DA1D5B"/>
    <w:rsid w:val="49DB0C6E"/>
    <w:rsid w:val="49E971A5"/>
    <w:rsid w:val="4A1167C4"/>
    <w:rsid w:val="4A14563A"/>
    <w:rsid w:val="4A58279F"/>
    <w:rsid w:val="4ABB20A3"/>
    <w:rsid w:val="4B144B96"/>
    <w:rsid w:val="4B4B2DE6"/>
    <w:rsid w:val="4B6B6A27"/>
    <w:rsid w:val="4B7B7571"/>
    <w:rsid w:val="4B7F1F39"/>
    <w:rsid w:val="4B8F1785"/>
    <w:rsid w:val="4C363097"/>
    <w:rsid w:val="4C443ECA"/>
    <w:rsid w:val="4CA87DDD"/>
    <w:rsid w:val="4CF06C3E"/>
    <w:rsid w:val="4D0A03CD"/>
    <w:rsid w:val="4D214C36"/>
    <w:rsid w:val="4D42174D"/>
    <w:rsid w:val="4D4A5869"/>
    <w:rsid w:val="4D4C1893"/>
    <w:rsid w:val="4D5A7AFB"/>
    <w:rsid w:val="4D7346FB"/>
    <w:rsid w:val="4DA564A9"/>
    <w:rsid w:val="4DA95EB0"/>
    <w:rsid w:val="4E5F66B5"/>
    <w:rsid w:val="4E9D11F3"/>
    <w:rsid w:val="4EBD191D"/>
    <w:rsid w:val="4F1A46F4"/>
    <w:rsid w:val="4FB559E8"/>
    <w:rsid w:val="4FCE0F90"/>
    <w:rsid w:val="4FFB2375"/>
    <w:rsid w:val="50002A37"/>
    <w:rsid w:val="50577989"/>
    <w:rsid w:val="506D5CA4"/>
    <w:rsid w:val="50A30B5D"/>
    <w:rsid w:val="50AE2C4A"/>
    <w:rsid w:val="50B47B0E"/>
    <w:rsid w:val="50BC1861"/>
    <w:rsid w:val="50D16AC9"/>
    <w:rsid w:val="511B2250"/>
    <w:rsid w:val="51246518"/>
    <w:rsid w:val="512664D0"/>
    <w:rsid w:val="51415389"/>
    <w:rsid w:val="51762D31"/>
    <w:rsid w:val="51AD13BB"/>
    <w:rsid w:val="51C942A2"/>
    <w:rsid w:val="51CA54C6"/>
    <w:rsid w:val="51EC5C8E"/>
    <w:rsid w:val="51F21A99"/>
    <w:rsid w:val="524853C0"/>
    <w:rsid w:val="52634259"/>
    <w:rsid w:val="526A117A"/>
    <w:rsid w:val="52F3264C"/>
    <w:rsid w:val="5302387E"/>
    <w:rsid w:val="532E601F"/>
    <w:rsid w:val="535218D5"/>
    <w:rsid w:val="53525F06"/>
    <w:rsid w:val="536014D3"/>
    <w:rsid w:val="539D6793"/>
    <w:rsid w:val="540860CA"/>
    <w:rsid w:val="54646810"/>
    <w:rsid w:val="54874828"/>
    <w:rsid w:val="548822B7"/>
    <w:rsid w:val="54B95FB4"/>
    <w:rsid w:val="54FA7C92"/>
    <w:rsid w:val="566712C5"/>
    <w:rsid w:val="56807404"/>
    <w:rsid w:val="56861684"/>
    <w:rsid w:val="5686715E"/>
    <w:rsid w:val="56F0446C"/>
    <w:rsid w:val="57260535"/>
    <w:rsid w:val="574F4F47"/>
    <w:rsid w:val="577136F0"/>
    <w:rsid w:val="5777060D"/>
    <w:rsid w:val="578D4D06"/>
    <w:rsid w:val="578E33B0"/>
    <w:rsid w:val="584E7FF0"/>
    <w:rsid w:val="58910817"/>
    <w:rsid w:val="58A03769"/>
    <w:rsid w:val="59780F55"/>
    <w:rsid w:val="597B6CDD"/>
    <w:rsid w:val="5981266A"/>
    <w:rsid w:val="5A4613F5"/>
    <w:rsid w:val="5A48189D"/>
    <w:rsid w:val="5A5930A0"/>
    <w:rsid w:val="5A8439A0"/>
    <w:rsid w:val="5A9A5DC0"/>
    <w:rsid w:val="5AC65699"/>
    <w:rsid w:val="5B5C6991"/>
    <w:rsid w:val="5B99328C"/>
    <w:rsid w:val="5C5505BD"/>
    <w:rsid w:val="5C7074DE"/>
    <w:rsid w:val="5D210E3F"/>
    <w:rsid w:val="5D377365"/>
    <w:rsid w:val="5D442040"/>
    <w:rsid w:val="5D7779BD"/>
    <w:rsid w:val="5D9A1BF5"/>
    <w:rsid w:val="5DBB38B0"/>
    <w:rsid w:val="5DDE1B3B"/>
    <w:rsid w:val="5DE41FA3"/>
    <w:rsid w:val="5E3D2AC5"/>
    <w:rsid w:val="5E541936"/>
    <w:rsid w:val="5E7C3E01"/>
    <w:rsid w:val="5E871E17"/>
    <w:rsid w:val="5EA9360A"/>
    <w:rsid w:val="5F051381"/>
    <w:rsid w:val="5F1C0AC8"/>
    <w:rsid w:val="5F4B24A0"/>
    <w:rsid w:val="5F75713B"/>
    <w:rsid w:val="5FBE721F"/>
    <w:rsid w:val="5FFD6AAF"/>
    <w:rsid w:val="602307E7"/>
    <w:rsid w:val="60436F04"/>
    <w:rsid w:val="6053009B"/>
    <w:rsid w:val="60AA1129"/>
    <w:rsid w:val="60F410E0"/>
    <w:rsid w:val="61205964"/>
    <w:rsid w:val="61465D1F"/>
    <w:rsid w:val="61673B91"/>
    <w:rsid w:val="6199389B"/>
    <w:rsid w:val="61AD6E0C"/>
    <w:rsid w:val="61C46421"/>
    <w:rsid w:val="61DD001C"/>
    <w:rsid w:val="61E81D34"/>
    <w:rsid w:val="6229353E"/>
    <w:rsid w:val="62554D1F"/>
    <w:rsid w:val="627E09C3"/>
    <w:rsid w:val="62FC338A"/>
    <w:rsid w:val="63321893"/>
    <w:rsid w:val="636050D8"/>
    <w:rsid w:val="636D6EE5"/>
    <w:rsid w:val="63CC3D0B"/>
    <w:rsid w:val="64304F73"/>
    <w:rsid w:val="64400690"/>
    <w:rsid w:val="64A10AC4"/>
    <w:rsid w:val="64C9161A"/>
    <w:rsid w:val="64F347D4"/>
    <w:rsid w:val="65137E2E"/>
    <w:rsid w:val="65640FAE"/>
    <w:rsid w:val="65805D0C"/>
    <w:rsid w:val="65A52404"/>
    <w:rsid w:val="65A61BB7"/>
    <w:rsid w:val="65B41599"/>
    <w:rsid w:val="65D94533"/>
    <w:rsid w:val="65FF0E4B"/>
    <w:rsid w:val="66181E3D"/>
    <w:rsid w:val="663B5710"/>
    <w:rsid w:val="66FD645E"/>
    <w:rsid w:val="677B7A40"/>
    <w:rsid w:val="679168A5"/>
    <w:rsid w:val="680E3F54"/>
    <w:rsid w:val="685B055C"/>
    <w:rsid w:val="68864858"/>
    <w:rsid w:val="68B05A03"/>
    <w:rsid w:val="68C10F98"/>
    <w:rsid w:val="68CF49EA"/>
    <w:rsid w:val="68D7041E"/>
    <w:rsid w:val="68F41DC9"/>
    <w:rsid w:val="69884438"/>
    <w:rsid w:val="69A97F2D"/>
    <w:rsid w:val="69C30C17"/>
    <w:rsid w:val="69C33EB9"/>
    <w:rsid w:val="6A124B30"/>
    <w:rsid w:val="6A2D0678"/>
    <w:rsid w:val="6A4358F9"/>
    <w:rsid w:val="6A8A51CA"/>
    <w:rsid w:val="6A8E5D77"/>
    <w:rsid w:val="6AF32E6F"/>
    <w:rsid w:val="6AF461BC"/>
    <w:rsid w:val="6B440173"/>
    <w:rsid w:val="6B7D4DE8"/>
    <w:rsid w:val="6B922DB5"/>
    <w:rsid w:val="6B980DB7"/>
    <w:rsid w:val="6BBB31F8"/>
    <w:rsid w:val="6BBC3397"/>
    <w:rsid w:val="6BC501DC"/>
    <w:rsid w:val="6BE1553D"/>
    <w:rsid w:val="6BEB4129"/>
    <w:rsid w:val="6C96111B"/>
    <w:rsid w:val="6D167843"/>
    <w:rsid w:val="6D650470"/>
    <w:rsid w:val="6D7722BF"/>
    <w:rsid w:val="6DEE0553"/>
    <w:rsid w:val="6E05729C"/>
    <w:rsid w:val="6E1060AA"/>
    <w:rsid w:val="6E1D2866"/>
    <w:rsid w:val="6E667453"/>
    <w:rsid w:val="6E971457"/>
    <w:rsid w:val="6F4A69F1"/>
    <w:rsid w:val="6FEF25AA"/>
    <w:rsid w:val="704E1548"/>
    <w:rsid w:val="7057614B"/>
    <w:rsid w:val="70890F4D"/>
    <w:rsid w:val="70DE11EC"/>
    <w:rsid w:val="70E564DE"/>
    <w:rsid w:val="7108048C"/>
    <w:rsid w:val="711E0AA4"/>
    <w:rsid w:val="71AA3C9B"/>
    <w:rsid w:val="71EE69AC"/>
    <w:rsid w:val="724D261B"/>
    <w:rsid w:val="72B858FF"/>
    <w:rsid w:val="7304015C"/>
    <w:rsid w:val="73F11EE8"/>
    <w:rsid w:val="741826B7"/>
    <w:rsid w:val="74294280"/>
    <w:rsid w:val="74461E71"/>
    <w:rsid w:val="746A7DFC"/>
    <w:rsid w:val="74961DC0"/>
    <w:rsid w:val="74B509F9"/>
    <w:rsid w:val="75251FEB"/>
    <w:rsid w:val="75472745"/>
    <w:rsid w:val="754D48BF"/>
    <w:rsid w:val="759367E7"/>
    <w:rsid w:val="75CF772B"/>
    <w:rsid w:val="75D952B8"/>
    <w:rsid w:val="75FF22F2"/>
    <w:rsid w:val="763C586B"/>
    <w:rsid w:val="766F6623"/>
    <w:rsid w:val="76960CA8"/>
    <w:rsid w:val="769C786E"/>
    <w:rsid w:val="77160E75"/>
    <w:rsid w:val="778D72B4"/>
    <w:rsid w:val="78180222"/>
    <w:rsid w:val="781A29E5"/>
    <w:rsid w:val="7853283F"/>
    <w:rsid w:val="785E7E2B"/>
    <w:rsid w:val="787F027D"/>
    <w:rsid w:val="797B3C4B"/>
    <w:rsid w:val="797F4670"/>
    <w:rsid w:val="79E323FB"/>
    <w:rsid w:val="7A33220C"/>
    <w:rsid w:val="7A4B13DA"/>
    <w:rsid w:val="7A88665B"/>
    <w:rsid w:val="7B3A0291"/>
    <w:rsid w:val="7B66419A"/>
    <w:rsid w:val="7B715966"/>
    <w:rsid w:val="7B790095"/>
    <w:rsid w:val="7C440063"/>
    <w:rsid w:val="7C5234CD"/>
    <w:rsid w:val="7C7639D6"/>
    <w:rsid w:val="7C7640C7"/>
    <w:rsid w:val="7C9240CD"/>
    <w:rsid w:val="7D1C63B1"/>
    <w:rsid w:val="7D1F2433"/>
    <w:rsid w:val="7DE12FE7"/>
    <w:rsid w:val="7E2F6359"/>
    <w:rsid w:val="7E361B5D"/>
    <w:rsid w:val="7F0544AD"/>
    <w:rsid w:val="7F3257CA"/>
    <w:rsid w:val="7F6B0F59"/>
    <w:rsid w:val="7F8D1B85"/>
    <w:rsid w:val="7FA846C3"/>
    <w:rsid w:val="7FB35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20"/>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rPr>
  </w:style>
  <w:style w:type="character" w:styleId="9">
    <w:name w:val="FollowedHyperlink"/>
    <w:basedOn w:val="7"/>
    <w:unhideWhenUsed/>
    <w:qFormat/>
    <w:uiPriority w:val="99"/>
    <w:rPr>
      <w:color w:val="333333"/>
      <w:u w:val="none"/>
    </w:rPr>
  </w:style>
  <w:style w:type="character" w:styleId="10">
    <w:name w:val="HTML Definition"/>
    <w:basedOn w:val="7"/>
    <w:unhideWhenUsed/>
    <w:qFormat/>
    <w:uiPriority w:val="99"/>
    <w:rPr>
      <w:i/>
    </w:rPr>
  </w:style>
  <w:style w:type="character" w:styleId="11">
    <w:name w:val="Hyperlink"/>
    <w:basedOn w:val="7"/>
    <w:unhideWhenUsed/>
    <w:qFormat/>
    <w:uiPriority w:val="99"/>
    <w:rPr>
      <w:color w:val="333333"/>
      <w:u w:val="none"/>
    </w:rPr>
  </w:style>
  <w:style w:type="character" w:styleId="12">
    <w:name w:val="HTML Code"/>
    <w:basedOn w:val="7"/>
    <w:unhideWhenUsed/>
    <w:qFormat/>
    <w:uiPriority w:val="99"/>
    <w:rPr>
      <w:rFonts w:hint="default" w:ascii="Menlo" w:hAnsi="Menlo" w:eastAsia="Menlo" w:cs="Menlo"/>
      <w:color w:val="C7254E"/>
      <w:sz w:val="21"/>
      <w:szCs w:val="21"/>
      <w:shd w:val="clear" w:color="auto" w:fill="F9F2F4"/>
    </w:rPr>
  </w:style>
  <w:style w:type="character" w:styleId="13">
    <w:name w:val="annotation reference"/>
    <w:basedOn w:val="7"/>
    <w:unhideWhenUsed/>
    <w:qFormat/>
    <w:uiPriority w:val="99"/>
    <w:rPr>
      <w:sz w:val="21"/>
      <w:szCs w:val="21"/>
    </w:rPr>
  </w:style>
  <w:style w:type="character" w:styleId="14">
    <w:name w:val="HTML Keyboard"/>
    <w:basedOn w:val="7"/>
    <w:unhideWhenUsed/>
    <w:qFormat/>
    <w:uiPriority w:val="99"/>
    <w:rPr>
      <w:rFonts w:hint="default" w:ascii="Menlo" w:hAnsi="Menlo" w:eastAsia="Menlo" w:cs="Menlo"/>
      <w:color w:val="FFFFFF"/>
      <w:sz w:val="21"/>
      <w:szCs w:val="21"/>
      <w:shd w:val="clear" w:color="auto" w:fill="333333"/>
    </w:rPr>
  </w:style>
  <w:style w:type="character" w:styleId="15">
    <w:name w:val="HTML Sample"/>
    <w:basedOn w:val="7"/>
    <w:unhideWhenUsed/>
    <w:qFormat/>
    <w:uiPriority w:val="99"/>
    <w:rPr>
      <w:rFonts w:ascii="Menlo" w:hAnsi="Menlo" w:eastAsia="Menlo" w:cs="Menlo"/>
      <w:sz w:val="21"/>
      <w:szCs w:val="21"/>
    </w:rPr>
  </w:style>
  <w:style w:type="character" w:customStyle="1" w:styleId="16">
    <w:name w:val="页眉 Char"/>
    <w:basedOn w:val="7"/>
    <w:link w:val="5"/>
    <w:qFormat/>
    <w:uiPriority w:val="99"/>
    <w:rPr>
      <w:sz w:val="18"/>
      <w:szCs w:val="18"/>
    </w:rPr>
  </w:style>
  <w:style w:type="character" w:customStyle="1" w:styleId="17">
    <w:name w:val="页脚 Char"/>
    <w:basedOn w:val="7"/>
    <w:link w:val="4"/>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bsharetext"/>
    <w:basedOn w:val="7"/>
    <w:qFormat/>
    <w:uiPriority w:val="0"/>
  </w:style>
  <w:style w:type="character" w:customStyle="1" w:styleId="20">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112254-B017-47B8-A4CA-A99C95918AA7}">
  <ds:schemaRefs/>
</ds:datastoreItem>
</file>

<file path=docProps/app.xml><?xml version="1.0" encoding="utf-8"?>
<Properties xmlns="http://schemas.openxmlformats.org/officeDocument/2006/extended-properties" xmlns:vt="http://schemas.openxmlformats.org/officeDocument/2006/docPropsVTypes">
  <Template>Normal.dotm</Template>
  <Company>zjsajj</Company>
  <Pages>16</Pages>
  <Words>1261</Words>
  <Characters>7194</Characters>
  <Lines>59</Lines>
  <Paragraphs>16</Paragraphs>
  <TotalTime>11</TotalTime>
  <ScaleCrop>false</ScaleCrop>
  <LinksUpToDate>false</LinksUpToDate>
  <CharactersWithSpaces>8439</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2019-01-25T01:22:00Z</dcterms:created>
  <dc:creator>颜效凡</dc:creator>
  <cp:lastModifiedBy>李秀琪</cp:lastModifiedBy>
  <cp:lastPrinted>2021-02-19T01:30:00Z</cp:lastPrinted>
  <dcterms:modified xsi:type="dcterms:W3CDTF">2021-02-24T09:41:04Z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5F371520E6054928B27CD18470B8CD75</vt:lpwstr>
  </property>
</Properties>
</file>