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宋体"/>
          <w:b/>
          <w:bCs w:val="0"/>
          <w:sz w:val="32"/>
          <w:szCs w:val="32"/>
          <w:lang w:eastAsia="zh-CN"/>
        </w:rPr>
      </w:pPr>
      <w:r>
        <w:rPr>
          <w:rFonts w:hint="eastAsia" w:ascii="仿宋_GB2312" w:hAnsi="宋体" w:eastAsia="仿宋_GB2312" w:cs="宋体"/>
          <w:b/>
          <w:bCs w:val="0"/>
          <w:sz w:val="32"/>
          <w:szCs w:val="32"/>
          <w:lang w:eastAsia="zh-CN"/>
        </w:rPr>
        <w:t>浙江省应急管理厅关于</w:t>
      </w:r>
    </w:p>
    <w:p>
      <w:pPr>
        <w:jc w:val="center"/>
        <w:rPr>
          <w:rFonts w:hint="eastAsia" w:ascii="仿宋_GB2312" w:hAnsi="宋体" w:eastAsia="仿宋_GB2312" w:cs="宋体"/>
          <w:b/>
          <w:bCs w:val="0"/>
          <w:sz w:val="32"/>
          <w:szCs w:val="32"/>
          <w:lang w:eastAsia="zh-CN"/>
        </w:rPr>
      </w:pPr>
      <w:r>
        <w:rPr>
          <w:rFonts w:hint="eastAsia" w:ascii="仿宋_GB2312" w:hAnsi="宋体" w:eastAsia="仿宋_GB2312" w:cs="宋体"/>
          <w:b/>
          <w:bCs w:val="0"/>
          <w:sz w:val="32"/>
          <w:szCs w:val="32"/>
          <w:lang w:eastAsia="zh-CN"/>
        </w:rPr>
        <w:t>《</w:t>
      </w:r>
      <w:r>
        <w:rPr>
          <w:rFonts w:hint="eastAsia" w:ascii="仿宋_GB2312" w:hAnsi="宋体" w:eastAsia="仿宋_GB2312" w:cs="宋体"/>
          <w:b/>
          <w:bCs w:val="0"/>
          <w:sz w:val="32"/>
          <w:szCs w:val="32"/>
        </w:rPr>
        <w:t xml:space="preserve">浙江省应急管理厅关于贯彻落实 </w:t>
      </w:r>
      <w:r>
        <w:rPr>
          <w:rFonts w:hint="eastAsia" w:ascii="仿宋_GB2312" w:hAnsi="宋体" w:eastAsia="仿宋_GB2312" w:cs="宋体"/>
          <w:b/>
          <w:bCs w:val="0"/>
          <w:sz w:val="32"/>
          <w:szCs w:val="32"/>
          <w:lang w:val="en-US" w:eastAsia="zh-CN"/>
        </w:rPr>
        <w:t>&lt;</w:t>
      </w:r>
      <w:r>
        <w:rPr>
          <w:rFonts w:hint="eastAsia" w:ascii="仿宋_GB2312" w:hAnsi="宋体" w:eastAsia="仿宋_GB2312" w:cs="宋体"/>
          <w:b/>
          <w:bCs w:val="0"/>
          <w:sz w:val="32"/>
          <w:szCs w:val="32"/>
        </w:rPr>
        <w:t>安全评价检测检验机构管理办法</w:t>
      </w:r>
      <w:r>
        <w:rPr>
          <w:rFonts w:hint="eastAsia" w:ascii="仿宋_GB2312" w:hAnsi="宋体" w:eastAsia="仿宋_GB2312" w:cs="宋体"/>
          <w:b/>
          <w:bCs w:val="0"/>
          <w:sz w:val="32"/>
          <w:szCs w:val="32"/>
          <w:lang w:val="en-US" w:eastAsia="zh-CN"/>
        </w:rPr>
        <w:t>&gt;</w:t>
      </w:r>
      <w:r>
        <w:rPr>
          <w:rFonts w:hint="eastAsia" w:ascii="仿宋_GB2312" w:hAnsi="宋体" w:eastAsia="仿宋_GB2312" w:cs="宋体"/>
          <w:b/>
          <w:bCs w:val="0"/>
          <w:sz w:val="32"/>
          <w:szCs w:val="32"/>
        </w:rPr>
        <w:t>的</w:t>
      </w:r>
      <w:r>
        <w:rPr>
          <w:rFonts w:hint="eastAsia" w:ascii="仿宋_GB2312" w:hAnsi="宋体" w:eastAsia="仿宋_GB2312" w:cs="宋体"/>
          <w:b/>
          <w:bCs w:val="0"/>
          <w:sz w:val="32"/>
          <w:szCs w:val="32"/>
          <w:lang w:eastAsia="zh-CN"/>
        </w:rPr>
        <w:t>实施意见（征求意见稿）》</w:t>
      </w:r>
    </w:p>
    <w:p>
      <w:pPr>
        <w:jc w:val="center"/>
        <w:rPr>
          <w:rFonts w:hint="eastAsia" w:ascii="仿宋_GB2312" w:hAnsi="宋体" w:eastAsia="仿宋_GB2312" w:cs="宋体"/>
          <w:b/>
          <w:bCs w:val="0"/>
          <w:sz w:val="32"/>
          <w:szCs w:val="32"/>
          <w:lang w:eastAsia="zh-CN"/>
        </w:rPr>
      </w:pPr>
      <w:r>
        <w:rPr>
          <w:rFonts w:hint="eastAsia" w:ascii="仿宋_GB2312" w:hAnsi="宋体" w:eastAsia="仿宋_GB2312" w:cs="宋体"/>
          <w:b/>
          <w:bCs w:val="0"/>
          <w:sz w:val="32"/>
          <w:szCs w:val="32"/>
          <w:lang w:eastAsia="zh-CN"/>
        </w:rPr>
        <w:t>意见征集及采纳情况</w:t>
      </w:r>
    </w:p>
    <w:p>
      <w:pPr>
        <w:spacing w:line="640" w:lineRule="exact"/>
        <w:ind w:firstLine="640" w:firstLineChars="200"/>
        <w:jc w:val="left"/>
        <w:rPr>
          <w:rFonts w:hint="eastAsia" w:ascii="仿宋_GB2312" w:hAnsi="宋体" w:eastAsia="仿宋_GB2312" w:cs="宋体"/>
          <w:b w:val="0"/>
          <w:bCs/>
          <w:sz w:val="32"/>
          <w:szCs w:val="32"/>
          <w:lang w:val="en-US" w:eastAsia="zh-CN"/>
        </w:rPr>
      </w:pPr>
      <w:r>
        <w:rPr>
          <w:rFonts w:hint="eastAsia" w:ascii="仿宋_GB2312" w:hAnsi="宋体" w:eastAsia="仿宋_GB2312" w:cs="宋体"/>
          <w:b w:val="0"/>
          <w:bCs/>
          <w:sz w:val="32"/>
          <w:szCs w:val="32"/>
          <w:lang w:val="en-US" w:eastAsia="zh-CN"/>
        </w:rPr>
        <w:t xml:space="preserve">    2019年8月6日至14日和9月16日至24日，在浙江省应急管理厅网站分别向厅机关各处室、各市应急管理局、各安全评价检测检验机构以及全社会公开征求修改意见，共计收到意见建议14条，其中采纳8条，已修改进《管理办法》，不予采纳6条，详细情况见附件。</w:t>
      </w:r>
    </w:p>
    <w:p>
      <w:pPr>
        <w:spacing w:line="640" w:lineRule="exact"/>
        <w:ind w:firstLine="640" w:firstLineChars="200"/>
        <w:jc w:val="left"/>
        <w:rPr>
          <w:rFonts w:hint="eastAsia" w:ascii="仿宋_GB2312" w:hAnsi="仿宋_GB2312" w:eastAsia="仿宋_GB2312" w:cs="仿宋_GB2312"/>
          <w:sz w:val="32"/>
          <w:szCs w:val="32"/>
          <w:lang w:eastAsia="zh-CN"/>
        </w:rPr>
      </w:pPr>
    </w:p>
    <w:p>
      <w:pPr>
        <w:spacing w:line="640" w:lineRule="exact"/>
        <w:ind w:firstLine="640" w:firstLineChars="200"/>
        <w:jc w:val="left"/>
        <w:rPr>
          <w:rFonts w:hint="eastAsia" w:ascii="仿宋_GB2312" w:hAnsi="宋体" w:eastAsia="仿宋_GB2312" w:cs="宋体"/>
          <w:b w:val="0"/>
          <w:bCs/>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w:t>
      </w:r>
      <w:r>
        <w:rPr>
          <w:rFonts w:hint="eastAsia" w:ascii="仿宋_GB2312" w:hAnsi="宋体" w:eastAsia="仿宋_GB2312" w:cs="宋体"/>
          <w:b w:val="0"/>
          <w:bCs/>
          <w:sz w:val="32"/>
          <w:szCs w:val="32"/>
          <w:lang w:eastAsia="zh-CN"/>
        </w:rPr>
        <w:t>意见征集及采纳情况汇总表</w:t>
      </w:r>
    </w:p>
    <w:p>
      <w:pPr>
        <w:spacing w:line="640" w:lineRule="exact"/>
        <w:ind w:firstLine="640" w:firstLineChars="200"/>
        <w:jc w:val="left"/>
        <w:rPr>
          <w:rFonts w:hint="eastAsia" w:ascii="仿宋_GB2312" w:hAnsi="宋体" w:eastAsia="仿宋_GB2312" w:cs="宋体"/>
          <w:b w:val="0"/>
          <w:bCs/>
          <w:sz w:val="32"/>
          <w:szCs w:val="32"/>
          <w:lang w:eastAsia="zh-CN"/>
        </w:rPr>
      </w:pPr>
    </w:p>
    <w:p>
      <w:pPr>
        <w:spacing w:line="640" w:lineRule="exact"/>
        <w:ind w:firstLine="640" w:firstLineChars="200"/>
        <w:jc w:val="left"/>
        <w:rPr>
          <w:rFonts w:hint="eastAsia" w:ascii="仿宋_GB2312" w:hAnsi="宋体" w:eastAsia="仿宋_GB2312" w:cs="宋体"/>
          <w:b w:val="0"/>
          <w:bCs/>
          <w:sz w:val="32"/>
          <w:szCs w:val="32"/>
          <w:lang w:eastAsia="zh-CN"/>
        </w:rPr>
      </w:pPr>
    </w:p>
    <w:p>
      <w:pPr>
        <w:spacing w:line="640" w:lineRule="exact"/>
        <w:ind w:firstLine="640" w:firstLineChars="200"/>
        <w:jc w:val="left"/>
        <w:rPr>
          <w:rFonts w:hint="eastAsia" w:ascii="仿宋_GB2312" w:hAnsi="宋体" w:eastAsia="仿宋_GB2312" w:cs="宋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浙江省应急管理厅</w:t>
      </w:r>
      <w:r>
        <w:rPr>
          <w:rFonts w:hint="eastAsia" w:ascii="仿宋_GB2312" w:hAnsi="仿宋_GB2312" w:eastAsia="仿宋_GB2312" w:cs="仿宋_GB2312"/>
          <w:sz w:val="32"/>
          <w:szCs w:val="32"/>
          <w:lang w:val="en-US" w:eastAsia="zh-CN"/>
        </w:rPr>
        <w:t xml:space="preserve">    </w:t>
      </w:r>
    </w:p>
    <w:p>
      <w:pPr>
        <w:spacing w:line="640" w:lineRule="exact"/>
        <w:ind w:firstLine="640" w:firstLineChars="200"/>
        <w:jc w:val="right"/>
        <w:rPr>
          <w:rFonts w:hint="default" w:ascii="仿宋_GB2312" w:hAnsi="宋体" w:eastAsia="仿宋_GB2312" w:cs="宋体"/>
          <w:b w:val="0"/>
          <w:bCs/>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spacing w:line="240" w:lineRule="auto"/>
        <w:ind w:firstLine="643" w:firstLineChars="200"/>
        <w:jc w:val="left"/>
        <w:rPr>
          <w:rFonts w:hint="eastAsia" w:ascii="仿宋_GB2312" w:hAnsi="仿宋" w:eastAsia="仿宋_GB2312" w:cs="Times New Roman"/>
          <w:b/>
          <w:bCs/>
          <w:sz w:val="32"/>
          <w:szCs w:val="32"/>
          <w:lang w:val="en-US" w:eastAsia="zh-CN" w:bidi="ar"/>
        </w:rPr>
      </w:pPr>
      <w:r>
        <w:rPr>
          <w:rFonts w:hint="eastAsia" w:ascii="仿宋_GB2312" w:hAnsi="仿宋" w:eastAsia="仿宋_GB2312" w:cs="Times New Roman"/>
          <w:b/>
          <w:bCs/>
          <w:sz w:val="32"/>
          <w:szCs w:val="32"/>
          <w:lang w:val="en-US" w:eastAsia="zh-CN" w:bidi="ar"/>
        </w:rPr>
        <w:t xml:space="preserve">附件     </w:t>
      </w:r>
    </w:p>
    <w:p>
      <w:pPr>
        <w:spacing w:line="240" w:lineRule="auto"/>
        <w:ind w:firstLine="643" w:firstLineChars="200"/>
        <w:jc w:val="center"/>
        <w:rPr>
          <w:rFonts w:hint="default" w:ascii="仿宋_GB2312" w:hAnsi="仿宋" w:eastAsia="仿宋_GB2312" w:cs="Times New Roman"/>
          <w:b/>
          <w:bCs w:val="0"/>
          <w:sz w:val="32"/>
          <w:szCs w:val="32"/>
          <w:lang w:val="en-US" w:eastAsia="zh-CN" w:bidi="ar"/>
        </w:rPr>
      </w:pPr>
      <w:r>
        <w:rPr>
          <w:rFonts w:hint="eastAsia" w:ascii="仿宋_GB2312" w:hAnsi="宋体" w:eastAsia="仿宋_GB2312" w:cs="宋体"/>
          <w:b/>
          <w:bCs w:val="0"/>
          <w:sz w:val="32"/>
          <w:szCs w:val="32"/>
          <w:lang w:eastAsia="zh-CN"/>
        </w:rPr>
        <w:t>意见征集及采纳情况汇总表</w:t>
      </w:r>
    </w:p>
    <w:tbl>
      <w:tblPr>
        <w:tblStyle w:val="4"/>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114"/>
        <w:gridCol w:w="7445"/>
        <w:gridCol w:w="1132"/>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698" w:type="dxa"/>
            <w:vAlign w:val="center"/>
          </w:tcPr>
          <w:p>
            <w:pPr>
              <w:spacing w:line="240" w:lineRule="auto"/>
              <w:jc w:val="center"/>
              <w:rPr>
                <w:rFonts w:hint="default" w:ascii="仿宋_GB2312" w:hAnsi="仿宋" w:eastAsia="仿宋_GB2312" w:cs="Times New Roman"/>
                <w:b/>
                <w:bCs/>
                <w:sz w:val="21"/>
                <w:szCs w:val="21"/>
                <w:vertAlign w:val="baseline"/>
                <w:lang w:val="en-US" w:eastAsia="zh-CN" w:bidi="ar"/>
              </w:rPr>
            </w:pPr>
            <w:r>
              <w:rPr>
                <w:rFonts w:hint="eastAsia" w:ascii="仿宋_GB2312" w:hAnsi="仿宋" w:eastAsia="仿宋_GB2312" w:cs="Times New Roman"/>
                <w:b/>
                <w:bCs/>
                <w:sz w:val="21"/>
                <w:szCs w:val="21"/>
                <w:vertAlign w:val="baseline"/>
                <w:lang w:val="en-US" w:eastAsia="zh-CN" w:bidi="ar"/>
              </w:rPr>
              <w:t>序号</w:t>
            </w:r>
          </w:p>
        </w:tc>
        <w:tc>
          <w:tcPr>
            <w:tcW w:w="2114" w:type="dxa"/>
            <w:vAlign w:val="center"/>
          </w:tcPr>
          <w:p>
            <w:pPr>
              <w:spacing w:line="240" w:lineRule="auto"/>
              <w:jc w:val="center"/>
              <w:rPr>
                <w:rFonts w:hint="default" w:ascii="仿宋_GB2312" w:hAnsi="仿宋" w:eastAsia="仿宋_GB2312" w:cs="Times New Roman"/>
                <w:b/>
                <w:bCs/>
                <w:sz w:val="21"/>
                <w:szCs w:val="21"/>
                <w:vertAlign w:val="baseline"/>
                <w:lang w:val="en-US" w:eastAsia="zh-CN" w:bidi="ar"/>
              </w:rPr>
            </w:pPr>
            <w:r>
              <w:rPr>
                <w:rFonts w:hint="eastAsia" w:ascii="仿宋_GB2312" w:hAnsi="仿宋" w:eastAsia="仿宋_GB2312" w:cs="Times New Roman"/>
                <w:b/>
                <w:bCs/>
                <w:sz w:val="21"/>
                <w:szCs w:val="21"/>
                <w:vertAlign w:val="baseline"/>
                <w:lang w:val="en-US" w:eastAsia="zh-CN" w:bidi="ar"/>
              </w:rPr>
              <w:t>对象</w:t>
            </w:r>
          </w:p>
        </w:tc>
        <w:tc>
          <w:tcPr>
            <w:tcW w:w="7445" w:type="dxa"/>
            <w:vAlign w:val="center"/>
          </w:tcPr>
          <w:p>
            <w:pPr>
              <w:spacing w:line="240" w:lineRule="auto"/>
              <w:jc w:val="center"/>
              <w:rPr>
                <w:rFonts w:hint="default" w:ascii="仿宋_GB2312" w:hAnsi="仿宋" w:eastAsia="仿宋_GB2312" w:cs="Times New Roman"/>
                <w:b/>
                <w:bCs/>
                <w:sz w:val="21"/>
                <w:szCs w:val="21"/>
                <w:vertAlign w:val="baseline"/>
                <w:lang w:val="en-US" w:eastAsia="zh-CN" w:bidi="ar"/>
              </w:rPr>
            </w:pPr>
            <w:r>
              <w:rPr>
                <w:rFonts w:hint="eastAsia" w:ascii="仿宋_GB2312" w:hAnsi="仿宋" w:eastAsia="仿宋_GB2312" w:cs="Times New Roman"/>
                <w:b/>
                <w:bCs/>
                <w:sz w:val="21"/>
                <w:szCs w:val="21"/>
                <w:vertAlign w:val="baseline"/>
                <w:lang w:val="en-US" w:eastAsia="zh-CN" w:bidi="ar"/>
              </w:rPr>
              <w:t>意见</w:t>
            </w:r>
          </w:p>
        </w:tc>
        <w:tc>
          <w:tcPr>
            <w:tcW w:w="1132" w:type="dxa"/>
            <w:vAlign w:val="center"/>
          </w:tcPr>
          <w:p>
            <w:pPr>
              <w:spacing w:line="240" w:lineRule="auto"/>
              <w:jc w:val="center"/>
              <w:rPr>
                <w:rFonts w:hint="default" w:ascii="仿宋_GB2312" w:hAnsi="仿宋" w:eastAsia="仿宋_GB2312" w:cs="Times New Roman"/>
                <w:b/>
                <w:bCs/>
                <w:sz w:val="21"/>
                <w:szCs w:val="21"/>
                <w:vertAlign w:val="baseline"/>
                <w:lang w:val="en-US" w:eastAsia="zh-CN" w:bidi="ar"/>
              </w:rPr>
            </w:pPr>
            <w:r>
              <w:rPr>
                <w:rFonts w:hint="eastAsia" w:ascii="仿宋_GB2312" w:hAnsi="仿宋" w:eastAsia="仿宋_GB2312" w:cs="Times New Roman"/>
                <w:b/>
                <w:bCs/>
                <w:sz w:val="21"/>
                <w:szCs w:val="21"/>
                <w:vertAlign w:val="baseline"/>
                <w:lang w:val="en-US" w:eastAsia="zh-CN" w:bidi="ar"/>
              </w:rPr>
              <w:t>采纳情况</w:t>
            </w:r>
          </w:p>
        </w:tc>
        <w:tc>
          <w:tcPr>
            <w:tcW w:w="2758" w:type="dxa"/>
            <w:vAlign w:val="center"/>
          </w:tcPr>
          <w:p>
            <w:pPr>
              <w:spacing w:line="240" w:lineRule="auto"/>
              <w:jc w:val="center"/>
              <w:rPr>
                <w:rFonts w:hint="eastAsia" w:ascii="仿宋_GB2312" w:hAnsi="仿宋" w:eastAsia="仿宋_GB2312" w:cs="Times New Roman"/>
                <w:b/>
                <w:bCs/>
                <w:sz w:val="21"/>
                <w:szCs w:val="21"/>
                <w:vertAlign w:val="baseline"/>
                <w:lang w:val="en-US" w:eastAsia="zh-CN" w:bidi="ar"/>
              </w:rPr>
            </w:pPr>
            <w:r>
              <w:rPr>
                <w:rFonts w:hint="eastAsia" w:ascii="仿宋_GB2312" w:hAnsi="仿宋" w:eastAsia="仿宋_GB2312" w:cs="Times New Roman"/>
                <w:b/>
                <w:bCs/>
                <w:sz w:val="21"/>
                <w:szCs w:val="21"/>
                <w:vertAlign w:val="baseline"/>
                <w:lang w:val="en-US" w:eastAsia="zh-CN" w:bidi="ar"/>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1</w:t>
            </w:r>
          </w:p>
        </w:tc>
        <w:tc>
          <w:tcPr>
            <w:tcW w:w="2114"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浙江省应急厅政策法规处</w:t>
            </w:r>
          </w:p>
        </w:tc>
        <w:tc>
          <w:tcPr>
            <w:tcW w:w="7445" w:type="dxa"/>
            <w:vAlign w:val="center"/>
          </w:tcPr>
          <w:p>
            <w:pPr>
              <w:pStyle w:val="2"/>
              <w:widowControl/>
              <w:spacing w:line="240" w:lineRule="auto"/>
              <w:ind w:left="0" w:leftChars="0" w:right="0" w:rightChars="0"/>
              <w:jc w:val="both"/>
              <w:rPr>
                <w:rFonts w:hint="eastAsia" w:ascii="仿宋_GB2312" w:hAnsi="仿宋_GB2312" w:eastAsia="仿宋_GB2312" w:cs="仿宋_GB2312"/>
                <w:kern w:val="2"/>
                <w:sz w:val="21"/>
                <w:szCs w:val="21"/>
                <w:lang w:val="en-US" w:eastAsia="zh-CN" w:bidi="ar-SA"/>
              </w:rPr>
            </w:pPr>
            <w:r>
              <w:rPr>
                <w:rFonts w:hint="eastAsia" w:ascii="仿宋_GB2312" w:hAnsi="仿宋" w:eastAsia="仿宋_GB2312" w:cs="Times New Roman"/>
                <w:kern w:val="2"/>
                <w:sz w:val="21"/>
                <w:szCs w:val="21"/>
                <w:vertAlign w:val="baseline"/>
                <w:lang w:val="en-US" w:eastAsia="zh-CN" w:bidi="ar"/>
              </w:rPr>
              <w:t>建议“省应急管理厅矿山、金属冶炼、危险化学品等行业监管处室负责职责范围内监督管理工作。”更改为“省应急管理厅矿山、金属冶炼、危险化学品、烟花爆竹等行业监管处室负责职责范围内监督管理工作。”</w:t>
            </w:r>
          </w:p>
        </w:tc>
        <w:tc>
          <w:tcPr>
            <w:tcW w:w="1132" w:type="dxa"/>
            <w:vAlign w:val="center"/>
          </w:tcPr>
          <w:p>
            <w:pPr>
              <w:pStyle w:val="2"/>
              <w:widowControl/>
              <w:spacing w:line="240" w:lineRule="auto"/>
              <w:ind w:left="0" w:leftChars="0" w:right="0" w:rightChar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采纳</w:t>
            </w:r>
          </w:p>
        </w:tc>
        <w:tc>
          <w:tcPr>
            <w:tcW w:w="2758" w:type="dxa"/>
            <w:vAlign w:val="center"/>
          </w:tcPr>
          <w:p>
            <w:pPr>
              <w:pStyle w:val="2"/>
              <w:widowControl/>
              <w:spacing w:line="240" w:lineRule="auto"/>
              <w:ind w:left="0" w:leftChars="0" w:right="0" w:rightChars="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对52号文件相关内容予以细化。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2</w:t>
            </w:r>
          </w:p>
        </w:tc>
        <w:tc>
          <w:tcPr>
            <w:tcW w:w="2114"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浙江省应急厅政策法规处</w:t>
            </w:r>
          </w:p>
        </w:tc>
        <w:tc>
          <w:tcPr>
            <w:tcW w:w="7445" w:type="dxa"/>
            <w:vAlign w:val="center"/>
          </w:tcPr>
          <w:p>
            <w:pPr>
              <w:pStyle w:val="2"/>
              <w:widowControl/>
              <w:spacing w:line="240" w:lineRule="auto"/>
              <w:ind w:left="0" w:leftChars="0" w:right="0" w:rightChars="0"/>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kern w:val="2"/>
                <w:sz w:val="21"/>
                <w:szCs w:val="21"/>
                <w:vertAlign w:val="baseline"/>
                <w:lang w:val="en-US" w:eastAsia="zh-CN" w:bidi="ar"/>
              </w:rPr>
              <w:t>建议“为贯彻落实国务院‘放管服’改革精神，深化‘最多跑一次’改革工作。”更改为“为贯彻落实国务院‘放管服’改革精神，推进‘证照分离’改革工作，深化‘最多跑一次’改革工作。”</w:t>
            </w:r>
          </w:p>
        </w:tc>
        <w:tc>
          <w:tcPr>
            <w:tcW w:w="1132"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采纳</w:t>
            </w:r>
          </w:p>
        </w:tc>
        <w:tc>
          <w:tcPr>
            <w:tcW w:w="2758"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近期国务院印发相关文件，根据最新精神贯彻实施。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3</w:t>
            </w:r>
          </w:p>
        </w:tc>
        <w:tc>
          <w:tcPr>
            <w:tcW w:w="2114"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浙江省应急厅政策法规处</w:t>
            </w:r>
          </w:p>
        </w:tc>
        <w:tc>
          <w:tcPr>
            <w:tcW w:w="7445" w:type="dxa"/>
            <w:vAlign w:val="center"/>
          </w:tcPr>
          <w:p>
            <w:pPr>
              <w:pStyle w:val="2"/>
              <w:widowControl/>
              <w:spacing w:line="240" w:lineRule="auto"/>
              <w:ind w:left="0" w:leftChars="0" w:right="0" w:rightChars="0"/>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kern w:val="2"/>
                <w:sz w:val="21"/>
                <w:szCs w:val="21"/>
                <w:vertAlign w:val="baseline"/>
                <w:lang w:val="en-US" w:eastAsia="zh-CN" w:bidi="ar"/>
              </w:rPr>
              <w:t>建议“省应急管理厅在24小时内对申请人提交的有关材料进行预审并决定是否受理。”更改为“省应急管理厅在工作日24小时内对申请人提交的有关材料进行预审并决定是否受理。”</w:t>
            </w:r>
          </w:p>
        </w:tc>
        <w:tc>
          <w:tcPr>
            <w:tcW w:w="1132"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采纳</w:t>
            </w:r>
          </w:p>
        </w:tc>
        <w:tc>
          <w:tcPr>
            <w:tcW w:w="2758"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尚未在节假日开通行政许可办理事项。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4</w:t>
            </w:r>
          </w:p>
        </w:tc>
        <w:tc>
          <w:tcPr>
            <w:tcW w:w="2114"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浙江省应急厅政策法规处</w:t>
            </w:r>
          </w:p>
        </w:tc>
        <w:tc>
          <w:tcPr>
            <w:tcW w:w="7445" w:type="dxa"/>
            <w:vAlign w:val="center"/>
          </w:tcPr>
          <w:p>
            <w:pPr>
              <w:pStyle w:val="2"/>
              <w:widowControl/>
              <w:spacing w:line="240" w:lineRule="auto"/>
              <w:ind w:left="0" w:leftChars="0" w:right="0" w:rightChars="0"/>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kern w:val="2"/>
                <w:sz w:val="21"/>
                <w:szCs w:val="21"/>
                <w:vertAlign w:val="baseline"/>
                <w:lang w:val="en-US" w:eastAsia="zh-CN" w:bidi="ar"/>
              </w:rPr>
              <w:t>建议“审查不合格的，不予批准同时出具电子回执说明理由。”更改为“审查不合格的，不予批准同时出具不予许可决定书（电子版）说明理由。”</w:t>
            </w:r>
          </w:p>
        </w:tc>
        <w:tc>
          <w:tcPr>
            <w:tcW w:w="1132"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采纳</w:t>
            </w:r>
          </w:p>
        </w:tc>
        <w:tc>
          <w:tcPr>
            <w:tcW w:w="2758"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表述更规范。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5</w:t>
            </w:r>
          </w:p>
        </w:tc>
        <w:tc>
          <w:tcPr>
            <w:tcW w:w="2114"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浙江省应急厅政策法规处</w:t>
            </w:r>
          </w:p>
        </w:tc>
        <w:tc>
          <w:tcPr>
            <w:tcW w:w="7445" w:type="dxa"/>
            <w:vAlign w:val="center"/>
          </w:tcPr>
          <w:p>
            <w:pPr>
              <w:pStyle w:val="2"/>
              <w:widowControl/>
              <w:spacing w:line="240" w:lineRule="auto"/>
              <w:ind w:left="0" w:leftChars="0" w:right="0" w:rightChars="0"/>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kern w:val="2"/>
                <w:sz w:val="21"/>
                <w:szCs w:val="21"/>
                <w:vertAlign w:val="baseline"/>
                <w:lang w:val="en-US" w:eastAsia="zh-CN" w:bidi="ar"/>
              </w:rPr>
              <w:t>建议“安全评价检测检验机构的名称、注册地址、实验室条件、法定代表人、专职技术负责人、授权签字人、工作场所及档案室发生变化的，应当自发生变化之日起三十日内登录浙江省政务服务网（http://www.zjzwfw.gov.cn/）在线提交变更申请及相关材料。”删除其中工作场所及档案室。</w:t>
            </w:r>
          </w:p>
        </w:tc>
        <w:tc>
          <w:tcPr>
            <w:tcW w:w="1132"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采纳</w:t>
            </w:r>
          </w:p>
        </w:tc>
        <w:tc>
          <w:tcPr>
            <w:tcW w:w="2758"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kern w:val="2"/>
                <w:sz w:val="21"/>
                <w:szCs w:val="21"/>
                <w:vertAlign w:val="baseline"/>
                <w:lang w:val="en-US" w:eastAsia="zh-CN" w:bidi="ar"/>
              </w:rPr>
              <w:t>工作场所及档案室发生变化非《管理办法》法定变更业务。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6</w:t>
            </w:r>
          </w:p>
        </w:tc>
        <w:tc>
          <w:tcPr>
            <w:tcW w:w="2114"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浙江省应急厅政策法规处</w:t>
            </w:r>
          </w:p>
        </w:tc>
        <w:tc>
          <w:tcPr>
            <w:tcW w:w="7445"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kern w:val="2"/>
                <w:sz w:val="21"/>
                <w:szCs w:val="21"/>
                <w:vertAlign w:val="baseline"/>
                <w:lang w:val="en-US" w:eastAsia="zh-CN" w:bidi="ar"/>
              </w:rPr>
              <w:t>建议“安全评价检测检验机构在办理注销时需提供有效评价检测检验报告清单”删除提供报告清单要求。</w:t>
            </w:r>
          </w:p>
        </w:tc>
        <w:tc>
          <w:tcPr>
            <w:tcW w:w="1132"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采纳</w:t>
            </w:r>
          </w:p>
        </w:tc>
        <w:tc>
          <w:tcPr>
            <w:tcW w:w="2758"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简化注销程序。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7</w:t>
            </w:r>
          </w:p>
        </w:tc>
        <w:tc>
          <w:tcPr>
            <w:tcW w:w="2114" w:type="dxa"/>
            <w:vAlign w:val="center"/>
          </w:tcPr>
          <w:p>
            <w:pPr>
              <w:spacing w:line="240" w:lineRule="auto"/>
              <w:jc w:val="center"/>
              <w:rPr>
                <w:rFonts w:hint="eastAsia" w:ascii="仿宋_GB2312" w:hAnsi="仿宋" w:eastAsia="仿宋_GB2312" w:cs="Times New Roman"/>
                <w:kern w:val="2"/>
                <w:sz w:val="21"/>
                <w:szCs w:val="21"/>
                <w:vertAlign w:val="baseline"/>
                <w:lang w:val="en-US" w:eastAsia="zh-CN" w:bidi="ar"/>
              </w:rPr>
            </w:pPr>
            <w:r>
              <w:rPr>
                <w:rFonts w:hint="eastAsia" w:ascii="仿宋_GB2312" w:hAnsi="仿宋_GB2312" w:eastAsia="仿宋_GB2312" w:cs="仿宋_GB2312"/>
                <w:kern w:val="2"/>
                <w:sz w:val="21"/>
                <w:szCs w:val="21"/>
                <w:lang w:val="en-US" w:eastAsia="zh-CN" w:bidi="ar-SA"/>
              </w:rPr>
              <w:t>宁波市应急管理局</w:t>
            </w:r>
          </w:p>
        </w:tc>
        <w:tc>
          <w:tcPr>
            <w:tcW w:w="7445" w:type="dxa"/>
            <w:vAlign w:val="center"/>
          </w:tcPr>
          <w:p>
            <w:pPr>
              <w:pStyle w:val="2"/>
              <w:widowControl/>
              <w:spacing w:line="240" w:lineRule="auto"/>
              <w:ind w:left="0" w:leftChars="0" w:right="0" w:rightChar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建议根据1号令，将第一大点第二段改成：“省应急管理厅负责实施安全评价检测检验机构资质认可工作，严格按照《行政许可法》《安全生产法》《管理办法》和有关文件要求，坚持公开、公平、公正的原则，依法依规审批和颁发资质证书；负责实施监督管理，重点对机构资质保持、安全评价过程控制执行、检测检验管理体系运行等情况实施检查，确保每三年对注册地内评价检测机构覆盖一次。</w:t>
            </w:r>
          </w:p>
        </w:tc>
        <w:tc>
          <w:tcPr>
            <w:tcW w:w="1132"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采纳</w:t>
            </w:r>
          </w:p>
        </w:tc>
        <w:tc>
          <w:tcPr>
            <w:tcW w:w="2758" w:type="dxa"/>
            <w:vAlign w:val="center"/>
          </w:tcPr>
          <w:p>
            <w:pPr>
              <w:spacing w:line="240" w:lineRule="auto"/>
              <w:jc w:val="both"/>
              <w:rPr>
                <w:rFonts w:hint="eastAsia"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1号令中原文，另增加主要职责内容，表述上更为严谨。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8</w:t>
            </w:r>
          </w:p>
        </w:tc>
        <w:tc>
          <w:tcPr>
            <w:tcW w:w="2114" w:type="dxa"/>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宁波市应急管理局</w:t>
            </w:r>
          </w:p>
        </w:tc>
        <w:tc>
          <w:tcPr>
            <w:tcW w:w="7445" w:type="dxa"/>
            <w:vAlign w:val="center"/>
          </w:tcPr>
          <w:p>
            <w:pPr>
              <w:pStyle w:val="2"/>
              <w:widowControl/>
              <w:spacing w:line="240" w:lineRule="auto"/>
              <w:ind w:left="0" w:leftChars="0" w:right="0" w:rightChars="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附件1现场检查备查材料清单（7），与安全评价资格人员签订的劳动关系证明原件，这里面包不包括社保清单吗，如果需要，社保清单需要拉几个月？最好明确一下。</w:t>
            </w:r>
          </w:p>
        </w:tc>
        <w:tc>
          <w:tcPr>
            <w:tcW w:w="1132"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不采纳</w:t>
            </w:r>
          </w:p>
        </w:tc>
        <w:tc>
          <w:tcPr>
            <w:tcW w:w="2758"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政务服务网网上申报系统已实现社保信息调用，不再需要提供社保清单。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9</w:t>
            </w:r>
          </w:p>
        </w:tc>
        <w:tc>
          <w:tcPr>
            <w:tcW w:w="2114"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_GB2312" w:eastAsia="仿宋_GB2312" w:cs="仿宋_GB2312"/>
                <w:kern w:val="2"/>
                <w:sz w:val="21"/>
                <w:szCs w:val="21"/>
                <w:lang w:val="en-US" w:eastAsia="zh-CN" w:bidi="ar-SA"/>
              </w:rPr>
              <w:t>绍兴市应急管理局</w:t>
            </w:r>
          </w:p>
        </w:tc>
        <w:tc>
          <w:tcPr>
            <w:tcW w:w="7445" w:type="dxa"/>
            <w:vAlign w:val="center"/>
          </w:tcPr>
          <w:p>
            <w:pPr>
              <w:pStyle w:val="2"/>
              <w:widowControl/>
              <w:spacing w:line="240" w:lineRule="auto"/>
              <w:ind w:left="0" w:leftChars="0" w:right="0" w:rightChars="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《通知》附件 1“现场检查备查材料清单”中的第（10）条“设备、设施校准或检定证书（购买发票再议）”，建议明确哪些设备、设施需要校准或检定。</w:t>
            </w:r>
          </w:p>
        </w:tc>
        <w:tc>
          <w:tcPr>
            <w:tcW w:w="1132"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不采纳</w:t>
            </w:r>
          </w:p>
        </w:tc>
        <w:tc>
          <w:tcPr>
            <w:tcW w:w="2758"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应急[2019]52号文附件6中已有清单详细说明。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10</w:t>
            </w:r>
          </w:p>
        </w:tc>
        <w:tc>
          <w:tcPr>
            <w:tcW w:w="2114"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_GB2312" w:eastAsia="仿宋_GB2312" w:cs="仿宋_GB2312"/>
                <w:kern w:val="2"/>
                <w:sz w:val="21"/>
                <w:szCs w:val="21"/>
                <w:lang w:val="en-US" w:eastAsia="zh-CN" w:bidi="ar-SA"/>
              </w:rPr>
              <w:t>绍兴市应急管理局</w:t>
            </w:r>
          </w:p>
        </w:tc>
        <w:tc>
          <w:tcPr>
            <w:tcW w:w="7445" w:type="dxa"/>
            <w:vAlign w:val="center"/>
          </w:tcPr>
          <w:p>
            <w:pPr>
              <w:pStyle w:val="2"/>
              <w:widowControl/>
              <w:spacing w:line="240" w:lineRule="auto"/>
              <w:ind w:left="0" w:leftChars="0" w:right="0" w:rightChars="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《通知》第一条“明晰职责，确保机构监管工作有序开展”第二款，该管理办法的管理对象是从事安全评价检测检验机构，那么对于一般安全咨询机构该如何管理， 是否有相应罚则？</w:t>
            </w:r>
          </w:p>
        </w:tc>
        <w:tc>
          <w:tcPr>
            <w:tcW w:w="1132"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不采纳</w:t>
            </w:r>
          </w:p>
        </w:tc>
        <w:tc>
          <w:tcPr>
            <w:tcW w:w="2758"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安全咨询机构非本《通知》监管范围。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11</w:t>
            </w:r>
          </w:p>
        </w:tc>
        <w:tc>
          <w:tcPr>
            <w:tcW w:w="2114"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温州市应急管理局</w:t>
            </w:r>
          </w:p>
        </w:tc>
        <w:tc>
          <w:tcPr>
            <w:tcW w:w="7445" w:type="dxa"/>
            <w:vAlign w:val="center"/>
          </w:tcPr>
          <w:p>
            <w:pPr>
              <w:pStyle w:val="2"/>
              <w:widowControl/>
              <w:spacing w:line="240" w:lineRule="auto"/>
              <w:ind w:left="0" w:leftChars="0" w:right="0" w:rightChars="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建议利用信息化技术手段，开发一款用于安全评价检测检验全过程记录的应用软件，加强对安全评价检测检验机构从业行为的监管。</w:t>
            </w:r>
          </w:p>
        </w:tc>
        <w:tc>
          <w:tcPr>
            <w:tcW w:w="1132"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不采纳</w:t>
            </w:r>
          </w:p>
        </w:tc>
        <w:tc>
          <w:tcPr>
            <w:tcW w:w="2758"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与</w:t>
            </w:r>
            <w:r>
              <w:rPr>
                <w:rFonts w:hint="eastAsia" w:ascii="仿宋_GB2312" w:hAnsi="仿宋_GB2312" w:eastAsia="仿宋_GB2312" w:cs="仿宋_GB2312"/>
                <w:kern w:val="2"/>
                <w:sz w:val="21"/>
                <w:szCs w:val="21"/>
                <w:lang w:val="en-US" w:eastAsia="zh-CN" w:bidi="ar-SA"/>
              </w:rPr>
              <w:t>《通知》内容无关。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12</w:t>
            </w:r>
          </w:p>
        </w:tc>
        <w:tc>
          <w:tcPr>
            <w:tcW w:w="2114"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嘉兴市应急管理局</w:t>
            </w:r>
          </w:p>
        </w:tc>
        <w:tc>
          <w:tcPr>
            <w:tcW w:w="7445" w:type="dxa"/>
            <w:vAlign w:val="center"/>
          </w:tcPr>
          <w:p>
            <w:pPr>
              <w:pStyle w:val="2"/>
              <w:widowControl/>
              <w:spacing w:line="240" w:lineRule="auto"/>
              <w:ind w:left="0" w:leftChars="0" w:right="0" w:rightChars="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建议将“二、落实责任、强化事中事后监管。。。市、 县（市、区）级应急管理局主要负责检查安全评价报告质量和安全生产检测检验结果”修改为“市、县（市、区）级应 急管理局主要负责对安全评价检测检验机构执业行为实施监督检查"。</w:t>
            </w:r>
          </w:p>
        </w:tc>
        <w:tc>
          <w:tcPr>
            <w:tcW w:w="1132"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采纳</w:t>
            </w:r>
          </w:p>
        </w:tc>
        <w:tc>
          <w:tcPr>
            <w:tcW w:w="2758"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执业行为包含范围上更大，原表述不能涵盖整个职业过程。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13</w:t>
            </w:r>
          </w:p>
        </w:tc>
        <w:tc>
          <w:tcPr>
            <w:tcW w:w="2114"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浙江建安检测研究院有限公司</w:t>
            </w:r>
          </w:p>
        </w:tc>
        <w:tc>
          <w:tcPr>
            <w:tcW w:w="7445" w:type="dxa"/>
            <w:vAlign w:val="center"/>
          </w:tcPr>
          <w:p>
            <w:pPr>
              <w:pStyle w:val="2"/>
              <w:widowControl/>
              <w:spacing w:line="240" w:lineRule="auto"/>
              <w:ind w:left="0" w:leftChars="0" w:right="0" w:rightChars="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建议对专职技术负责人的配备要求修改为在本行业领域工作八年以上，且有从事该业务范围安全评价服务业绩5个以上的不限专业。</w:t>
            </w:r>
          </w:p>
        </w:tc>
        <w:tc>
          <w:tcPr>
            <w:tcW w:w="1132" w:type="dxa"/>
            <w:vAlign w:val="center"/>
          </w:tcPr>
          <w:p>
            <w:pPr>
              <w:pStyle w:val="2"/>
              <w:widowControl/>
              <w:spacing w:line="240" w:lineRule="auto"/>
              <w:ind w:left="0" w:leftChars="0" w:right="0" w:rightChars="0"/>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不采纳</w:t>
            </w:r>
          </w:p>
        </w:tc>
        <w:tc>
          <w:tcPr>
            <w:tcW w:w="2758" w:type="dxa"/>
            <w:vAlign w:val="center"/>
          </w:tcPr>
          <w:p>
            <w:pPr>
              <w:pStyle w:val="2"/>
              <w:widowControl/>
              <w:spacing w:line="240" w:lineRule="auto"/>
              <w:ind w:left="0" w:leftChars="0" w:right="0" w:rightChars="0"/>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专职技术负责人是对所负责行业领域全过程的技术决策、技术把关，其专业能力需能够胜任所申请专业领域的要求。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14</w:t>
            </w:r>
          </w:p>
        </w:tc>
        <w:tc>
          <w:tcPr>
            <w:tcW w:w="2114" w:type="dxa"/>
            <w:vAlign w:val="center"/>
          </w:tcPr>
          <w:p>
            <w:pPr>
              <w:spacing w:line="240" w:lineRule="auto"/>
              <w:jc w:val="center"/>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浙江金安设计研究有限公司</w:t>
            </w:r>
          </w:p>
        </w:tc>
        <w:tc>
          <w:tcPr>
            <w:tcW w:w="7445"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建议“不得向生产经营单位指定某家机构进行技术服务”更改为“不得向生产经营单位指定某家机构进行安全评价（估）或检测检验”。</w:t>
            </w:r>
          </w:p>
        </w:tc>
        <w:tc>
          <w:tcPr>
            <w:tcW w:w="1132"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不采纳</w:t>
            </w:r>
          </w:p>
        </w:tc>
        <w:tc>
          <w:tcPr>
            <w:tcW w:w="2758" w:type="dxa"/>
            <w:vAlign w:val="center"/>
          </w:tcPr>
          <w:p>
            <w:pPr>
              <w:spacing w:line="240" w:lineRule="auto"/>
              <w:jc w:val="both"/>
              <w:rPr>
                <w:rFonts w:hint="default" w:ascii="仿宋_GB2312" w:hAnsi="仿宋" w:eastAsia="仿宋_GB2312" w:cs="Times New Roman"/>
                <w:kern w:val="2"/>
                <w:sz w:val="21"/>
                <w:szCs w:val="21"/>
                <w:vertAlign w:val="baseline"/>
                <w:lang w:val="en-US" w:eastAsia="zh-CN" w:bidi="ar"/>
              </w:rPr>
            </w:pPr>
            <w:r>
              <w:rPr>
                <w:rFonts w:hint="eastAsia" w:ascii="仿宋_GB2312" w:hAnsi="仿宋" w:eastAsia="仿宋_GB2312" w:cs="Times New Roman"/>
                <w:sz w:val="21"/>
                <w:szCs w:val="21"/>
                <w:vertAlign w:val="baseline"/>
                <w:lang w:val="en-US" w:eastAsia="zh-CN" w:bidi="ar"/>
              </w:rPr>
              <w:t>安全评估非本《通知》监管范围。</w:t>
            </w:r>
          </w:p>
        </w:tc>
      </w:tr>
    </w:tbl>
    <w:p>
      <w:pPr>
        <w:spacing w:line="240" w:lineRule="auto"/>
        <w:ind w:firstLine="420" w:firstLineChars="200"/>
        <w:jc w:val="left"/>
        <w:rPr>
          <w:rFonts w:hint="default" w:ascii="仿宋_GB2312" w:hAnsi="仿宋" w:eastAsia="仿宋_GB2312" w:cs="Times New Roman"/>
          <w:sz w:val="21"/>
          <w:szCs w:val="21"/>
          <w:lang w:val="en-US" w:eastAsia="zh-CN" w:bidi="ar"/>
        </w:rPr>
      </w:pPr>
      <w:r>
        <w:rPr>
          <w:rFonts w:hint="eastAsia" w:ascii="仿宋_GB2312" w:hAnsi="仿宋" w:eastAsia="仿宋_GB2312" w:cs="Times New Roman"/>
          <w:sz w:val="21"/>
          <w:szCs w:val="21"/>
          <w:lang w:val="en-US" w:eastAsia="zh-CN" w:bidi="ar"/>
        </w:rPr>
        <w:t>注：杭州市、湖州市、金华市、台州市、丽水市应急管理部门及公众</w:t>
      </w:r>
      <w:bookmarkStart w:id="0" w:name="_GoBack"/>
      <w:bookmarkEnd w:id="0"/>
      <w:r>
        <w:rPr>
          <w:rFonts w:hint="eastAsia" w:ascii="仿宋_GB2312" w:hAnsi="仿宋" w:eastAsia="仿宋_GB2312" w:cs="Times New Roman"/>
          <w:sz w:val="21"/>
          <w:szCs w:val="21"/>
          <w:lang w:val="en-US" w:eastAsia="zh-CN" w:bidi="ar"/>
        </w:rPr>
        <w:t>未提出修改意见。</w:t>
      </w:r>
    </w:p>
    <w:p>
      <w:pPr>
        <w:jc w:val="left"/>
        <w:rPr>
          <w:rFonts w:hint="eastAsia" w:ascii="仿宋_GB2312" w:hAnsi="宋体" w:eastAsia="仿宋_GB2312" w:cs="宋体"/>
          <w:b w:val="0"/>
          <w:bCs/>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C6BB9"/>
    <w:rsid w:val="0E7B4527"/>
    <w:rsid w:val="0E843151"/>
    <w:rsid w:val="11647318"/>
    <w:rsid w:val="11E86823"/>
    <w:rsid w:val="17657F72"/>
    <w:rsid w:val="2B856949"/>
    <w:rsid w:val="32DD7721"/>
    <w:rsid w:val="3DD74424"/>
    <w:rsid w:val="40151E06"/>
    <w:rsid w:val="41B0453C"/>
    <w:rsid w:val="46744B08"/>
    <w:rsid w:val="4B0C6BB9"/>
    <w:rsid w:val="55931908"/>
    <w:rsid w:val="62AF6AAA"/>
    <w:rsid w:val="63920AD4"/>
    <w:rsid w:val="77E9602C"/>
    <w:rsid w:val="7CE0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2020-09-02T01:48:00Z</dcterms:created>
  <dc:creator>XHIHAU</dc:creator>
  <cp:lastModifiedBy>XHIHAU</cp:lastModifiedBy>
  <cp:lastPrinted>2020-09-07T02:40:00Z</cp:lastPrinted>
  <dcterms:modified xsi:type="dcterms:W3CDTF">2020-09-08T02:49:58Z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