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9C" w:rsidRPr="00D563A5" w:rsidRDefault="00391EE2" w:rsidP="009E6ADE">
      <w:pPr>
        <w:pStyle w:val="2"/>
        <w:spacing w:line="540" w:lineRule="exact"/>
        <w:ind w:firstLine="0"/>
        <w:rPr>
          <w:rFonts w:ascii="Times New Roman"/>
          <w:color w:val="000000" w:themeColor="text1"/>
        </w:rPr>
      </w:pPr>
      <w:r w:rsidRPr="00D563A5">
        <w:rPr>
          <w:rFonts w:ascii="Times New Roman"/>
          <w:color w:val="000000" w:themeColor="text1"/>
        </w:rPr>
        <w:t>附件</w:t>
      </w:r>
      <w:r w:rsidRPr="00D563A5">
        <w:rPr>
          <w:rFonts w:ascii="Times New Roman"/>
          <w:color w:val="000000" w:themeColor="text1"/>
        </w:rPr>
        <w:t>2</w:t>
      </w:r>
    </w:p>
    <w:p w:rsidR="00D60BD3" w:rsidRPr="00D563A5" w:rsidRDefault="00D60BD3" w:rsidP="00D60BD3">
      <w:pPr>
        <w:spacing w:line="360" w:lineRule="auto"/>
        <w:jc w:val="center"/>
        <w:rPr>
          <w:rFonts w:eastAsia="华文中宋"/>
          <w:b/>
          <w:color w:val="000000" w:themeColor="text1"/>
          <w:spacing w:val="-20"/>
          <w:sz w:val="36"/>
          <w:szCs w:val="36"/>
        </w:rPr>
      </w:pPr>
      <w:r w:rsidRPr="00D563A5">
        <w:rPr>
          <w:rFonts w:eastAsia="华文中宋"/>
          <w:b/>
          <w:color w:val="000000" w:themeColor="text1"/>
          <w:spacing w:val="-20"/>
          <w:sz w:val="36"/>
          <w:szCs w:val="36"/>
        </w:rPr>
        <w:t>浙江省金属非金属矿山企业</w:t>
      </w:r>
    </w:p>
    <w:p w:rsidR="00D60BD3" w:rsidRPr="00D563A5" w:rsidRDefault="00D60BD3" w:rsidP="00D60BD3">
      <w:pPr>
        <w:spacing w:line="360" w:lineRule="auto"/>
        <w:jc w:val="center"/>
        <w:rPr>
          <w:rFonts w:eastAsia="华文中宋"/>
          <w:b/>
          <w:color w:val="000000" w:themeColor="text1"/>
          <w:spacing w:val="-20"/>
          <w:sz w:val="36"/>
          <w:szCs w:val="36"/>
        </w:rPr>
      </w:pPr>
      <w:r w:rsidRPr="00D563A5">
        <w:rPr>
          <w:rFonts w:eastAsia="华文中宋"/>
          <w:b/>
          <w:color w:val="000000" w:themeColor="text1"/>
          <w:spacing w:val="-20"/>
          <w:sz w:val="36"/>
          <w:szCs w:val="36"/>
        </w:rPr>
        <w:t>从业人员安全技能提升培训大纲</w:t>
      </w:r>
    </w:p>
    <w:p w:rsidR="00D60BD3" w:rsidRPr="00D563A5" w:rsidRDefault="00D60BD3" w:rsidP="00D60BD3">
      <w:pPr>
        <w:spacing w:line="540" w:lineRule="exact"/>
        <w:jc w:val="center"/>
        <w:rPr>
          <w:rFonts w:eastAsia="仿宋_GB2312"/>
          <w:b/>
          <w:bCs/>
          <w:color w:val="000000" w:themeColor="text1"/>
          <w:sz w:val="32"/>
          <w:szCs w:val="32"/>
        </w:rPr>
      </w:pP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本大纲规定了浙江省金属非金属矿山企业从业人员安全技能提升培训的目的、要求和具体内容。</w:t>
      </w:r>
    </w:p>
    <w:p w:rsidR="00D60BD3" w:rsidRPr="00D563A5" w:rsidRDefault="00D60BD3" w:rsidP="00D60BD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1</w:t>
      </w:r>
      <w:r w:rsidRPr="00D563A5">
        <w:rPr>
          <w:rFonts w:eastAsia="仿宋_GB2312"/>
          <w:b/>
          <w:color w:val="000000" w:themeColor="text1"/>
          <w:sz w:val="32"/>
          <w:szCs w:val="32"/>
        </w:rPr>
        <w:t>．培训对象</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金属非金属矿山企业除主要负责人、安全生产管理人员和特种作业人员以外的其他从业人员，包括被派遣劳动者（以下统称金属非金属矿山企业从业人员）。</w:t>
      </w:r>
    </w:p>
    <w:p w:rsidR="00D60BD3" w:rsidRPr="00D563A5" w:rsidRDefault="00D60BD3" w:rsidP="00D60BD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2</w:t>
      </w:r>
      <w:r w:rsidRPr="00D563A5">
        <w:rPr>
          <w:rFonts w:eastAsia="仿宋_GB2312"/>
          <w:b/>
          <w:color w:val="000000" w:themeColor="text1"/>
          <w:sz w:val="32"/>
          <w:szCs w:val="32"/>
        </w:rPr>
        <w:t>．培训目的</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通过培训，使培训对象了解我国安全生产方针、有关法律、法规和规章要求；了解矿山作业的危险、职业危害因素；熟悉金属非金属矿山企业从业人员的安全生产权利和义务；掌握金属非金属矿山安全生产基本知识和安全操作规程，个人防护、避灾、自救与互救方法，事故应急措施，安全设施和个人劳动防护用品的使用和维护，以及职业病预防知识等；具备与其岗位相适应的安全知识、安全技能和应急处置能力。</w:t>
      </w:r>
    </w:p>
    <w:p w:rsidR="00D60BD3" w:rsidRPr="00D563A5" w:rsidRDefault="00D60BD3" w:rsidP="00D60BD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3</w:t>
      </w:r>
      <w:r w:rsidRPr="00D563A5">
        <w:rPr>
          <w:rFonts w:eastAsia="仿宋_GB2312"/>
          <w:b/>
          <w:color w:val="000000" w:themeColor="text1"/>
          <w:sz w:val="32"/>
          <w:szCs w:val="32"/>
        </w:rPr>
        <w:t>．培训要求</w:t>
      </w:r>
    </w:p>
    <w:p w:rsidR="00D60BD3" w:rsidRPr="00D563A5" w:rsidRDefault="00D60BD3" w:rsidP="00D60BD3">
      <w:pPr>
        <w:spacing w:line="540" w:lineRule="exact"/>
        <w:ind w:firstLine="482"/>
        <w:rPr>
          <w:rFonts w:eastAsia="仿宋_GB2312"/>
          <w:color w:val="000000" w:themeColor="text1"/>
          <w:sz w:val="32"/>
          <w:szCs w:val="32"/>
        </w:rPr>
      </w:pPr>
      <w:r w:rsidRPr="00D563A5">
        <w:rPr>
          <w:rFonts w:eastAsia="仿宋_GB2312"/>
          <w:b/>
          <w:color w:val="000000" w:themeColor="text1"/>
          <w:sz w:val="32"/>
          <w:szCs w:val="32"/>
        </w:rPr>
        <w:t>3.1</w:t>
      </w:r>
      <w:r w:rsidRPr="00D563A5">
        <w:rPr>
          <w:rFonts w:eastAsia="仿宋_GB2312"/>
          <w:color w:val="000000" w:themeColor="text1"/>
          <w:sz w:val="32"/>
          <w:szCs w:val="32"/>
        </w:rPr>
        <w:t xml:space="preserve"> </w:t>
      </w:r>
      <w:r w:rsidRPr="00D563A5">
        <w:rPr>
          <w:rFonts w:eastAsia="仿宋_GB2312"/>
          <w:color w:val="000000" w:themeColor="text1"/>
          <w:sz w:val="32"/>
          <w:szCs w:val="32"/>
        </w:rPr>
        <w:t>金属非金属矿山企业从业人员必须按照本大纲的要求接受安全生产培训，增加必要的安全生产知识，提升其安全技能，从业人员经考试合格后方可上岗作业。</w:t>
      </w:r>
    </w:p>
    <w:p w:rsidR="00D60BD3" w:rsidRPr="00D563A5" w:rsidRDefault="00D60BD3" w:rsidP="00D60BD3">
      <w:pPr>
        <w:spacing w:line="54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3.2 </w:t>
      </w:r>
      <w:r w:rsidRPr="00D563A5">
        <w:rPr>
          <w:rFonts w:eastAsia="仿宋_GB2312"/>
          <w:color w:val="000000" w:themeColor="text1"/>
          <w:sz w:val="32"/>
          <w:szCs w:val="32"/>
        </w:rPr>
        <w:t>金属非金属矿山企业从业人员安全生产培训应按露天矿山（小型露天采石场）和地下矿山两类分别进行。具备安全培训条件的金属非金属矿山企业应当以自主培训为主，组织对本</w:t>
      </w:r>
      <w:r w:rsidRPr="00D563A5">
        <w:rPr>
          <w:rFonts w:eastAsia="仿宋_GB2312"/>
          <w:color w:val="000000" w:themeColor="text1"/>
          <w:sz w:val="32"/>
          <w:szCs w:val="32"/>
        </w:rPr>
        <w:lastRenderedPageBreak/>
        <w:t>单位从业人员进行培训，并建立健全培训档案，详细、准确记录培训、考试、考核情况；也可以委托具备安全培训条件的机构，对从业人员进行安全培训。不具备安全培训条件的生产经营单位，应当委托具备安全培训条件的机构，对从业人员进行安全培训，但培训内容应体现本单位特点。委托其他单位或机构进行安全培训的，保证安全培训的责任仍由本单位负责。</w:t>
      </w:r>
    </w:p>
    <w:p w:rsidR="00D60BD3" w:rsidRPr="00D563A5" w:rsidRDefault="00D60BD3" w:rsidP="00D60BD3">
      <w:pPr>
        <w:spacing w:line="54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3.3 </w:t>
      </w:r>
      <w:r w:rsidRPr="00D563A5">
        <w:rPr>
          <w:rFonts w:eastAsia="仿宋_GB2312"/>
          <w:color w:val="000000" w:themeColor="text1"/>
          <w:sz w:val="32"/>
          <w:szCs w:val="32"/>
        </w:rPr>
        <w:t>培训要坚持理论与实际相结合，重点加强安全意识、规章制度、基础知识、基本方法和实际安全技能、应急处置能力的综合培训；要充分考虑现有从业人员的实际，使培训内容易学易懂，易于掌握。</w:t>
      </w:r>
    </w:p>
    <w:p w:rsidR="00D60BD3" w:rsidRPr="00D563A5" w:rsidRDefault="00D60BD3" w:rsidP="00D60BD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4</w:t>
      </w:r>
      <w:r w:rsidRPr="00D563A5">
        <w:rPr>
          <w:rFonts w:eastAsia="仿宋_GB2312"/>
          <w:b/>
          <w:color w:val="000000" w:themeColor="text1"/>
          <w:sz w:val="32"/>
          <w:szCs w:val="32"/>
        </w:rPr>
        <w:t>．培训内容</w:t>
      </w:r>
    </w:p>
    <w:p w:rsidR="00D60BD3" w:rsidRPr="00D563A5" w:rsidRDefault="00D60BD3" w:rsidP="00D60BD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4.1 </w:t>
      </w:r>
      <w:r w:rsidRPr="00D563A5">
        <w:rPr>
          <w:rFonts w:eastAsia="仿宋_GB2312"/>
          <w:b/>
          <w:color w:val="000000" w:themeColor="text1"/>
          <w:sz w:val="32"/>
          <w:szCs w:val="32"/>
        </w:rPr>
        <w:t>安全生产法律法规与其他要求</w:t>
      </w:r>
    </w:p>
    <w:p w:rsidR="00D60BD3" w:rsidRPr="00D563A5" w:rsidRDefault="00D60BD3" w:rsidP="00D60BD3">
      <w:pPr>
        <w:spacing w:line="540" w:lineRule="exact"/>
        <w:ind w:firstLine="482"/>
        <w:rPr>
          <w:rFonts w:eastAsia="仿宋_GB2312"/>
          <w:b/>
          <w:bCs/>
          <w:color w:val="000000" w:themeColor="text1"/>
          <w:sz w:val="32"/>
          <w:szCs w:val="32"/>
        </w:rPr>
      </w:pPr>
      <w:r w:rsidRPr="00D563A5">
        <w:rPr>
          <w:rFonts w:eastAsia="仿宋_GB2312"/>
          <w:b/>
          <w:color w:val="000000" w:themeColor="text1"/>
          <w:sz w:val="32"/>
          <w:szCs w:val="32"/>
        </w:rPr>
        <w:t xml:space="preserve">4.1.1 </w:t>
      </w:r>
      <w:r w:rsidRPr="00D563A5">
        <w:rPr>
          <w:rFonts w:eastAsia="仿宋_GB2312"/>
          <w:b/>
          <w:bCs/>
          <w:color w:val="000000" w:themeColor="text1"/>
          <w:sz w:val="32"/>
          <w:szCs w:val="32"/>
        </w:rPr>
        <w:t>国家安全生产方针政策和有关金属非金属矿山安全生产的主要法律、法规、规章、重要文件</w:t>
      </w:r>
    </w:p>
    <w:p w:rsidR="00D60BD3" w:rsidRPr="00D563A5" w:rsidRDefault="00D60BD3" w:rsidP="00D60BD3">
      <w:pPr>
        <w:spacing w:line="540" w:lineRule="exact"/>
        <w:ind w:firstLine="482"/>
        <w:rPr>
          <w:rFonts w:eastAsia="仿宋_GB2312"/>
          <w:color w:val="000000" w:themeColor="text1"/>
          <w:sz w:val="32"/>
          <w:szCs w:val="32"/>
        </w:rPr>
      </w:pPr>
      <w:r w:rsidRPr="00D563A5">
        <w:rPr>
          <w:rFonts w:eastAsia="仿宋_GB2312"/>
          <w:color w:val="000000" w:themeColor="text1"/>
          <w:sz w:val="32"/>
          <w:szCs w:val="32"/>
        </w:rPr>
        <w:t>主要包括：《安全生产法》《职业病防治法》《矿山安全法》《劳动法》《矿产资源法》《生产安全事故报告和调查处理条例》《工伤保险条例》《矿山安全法实施条例》《民用爆炸物品安全管理条例》《非煤矿矿山企业安全生产许可证实施办法》《生产安全事故应急预案管理办法》《金属非金属矿山重大生产安全事故隐患判定标准（试行）》等。</w:t>
      </w:r>
    </w:p>
    <w:p w:rsidR="00D60BD3" w:rsidRPr="00D563A5" w:rsidRDefault="00D60BD3" w:rsidP="00D60BD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4.1.2  </w:t>
      </w:r>
      <w:r w:rsidRPr="00D563A5">
        <w:rPr>
          <w:rFonts w:eastAsia="仿宋_GB2312"/>
          <w:b/>
          <w:color w:val="000000" w:themeColor="text1"/>
          <w:sz w:val="32"/>
          <w:szCs w:val="32"/>
        </w:rPr>
        <w:t>浙江省法规政策</w:t>
      </w:r>
    </w:p>
    <w:p w:rsidR="00D60BD3" w:rsidRPr="00D563A5" w:rsidRDefault="00D60BD3" w:rsidP="00D60BD3">
      <w:pPr>
        <w:spacing w:line="540" w:lineRule="exact"/>
        <w:ind w:firstLine="482"/>
        <w:rPr>
          <w:rFonts w:eastAsia="仿宋_GB2312"/>
          <w:color w:val="000000" w:themeColor="text1"/>
          <w:sz w:val="32"/>
          <w:szCs w:val="32"/>
        </w:rPr>
      </w:pPr>
      <w:r w:rsidRPr="00D563A5">
        <w:rPr>
          <w:rFonts w:eastAsia="仿宋_GB2312"/>
          <w:color w:val="000000" w:themeColor="text1"/>
          <w:sz w:val="32"/>
          <w:szCs w:val="32"/>
        </w:rPr>
        <w:t>主要包括：《浙江省安全生产条例》《浙江省实施</w:t>
      </w:r>
      <w:r w:rsidRPr="00D563A5">
        <w:rPr>
          <w:rFonts w:eastAsia="仿宋_GB2312"/>
          <w:color w:val="000000" w:themeColor="text1"/>
          <w:sz w:val="32"/>
          <w:szCs w:val="32"/>
        </w:rPr>
        <w:t>&lt;</w:t>
      </w:r>
      <w:r w:rsidRPr="00D563A5">
        <w:rPr>
          <w:rFonts w:eastAsia="仿宋_GB2312"/>
          <w:color w:val="000000" w:themeColor="text1"/>
          <w:sz w:val="32"/>
          <w:szCs w:val="32"/>
        </w:rPr>
        <w:t>中华人民共和国矿山安全法</w:t>
      </w:r>
      <w:r w:rsidRPr="00D563A5">
        <w:rPr>
          <w:rFonts w:eastAsia="仿宋_GB2312"/>
          <w:color w:val="000000" w:themeColor="text1"/>
          <w:sz w:val="32"/>
          <w:szCs w:val="32"/>
        </w:rPr>
        <w:t>&gt;</w:t>
      </w:r>
      <w:r w:rsidRPr="00D563A5">
        <w:rPr>
          <w:rFonts w:eastAsia="仿宋_GB2312"/>
          <w:color w:val="000000" w:themeColor="text1"/>
          <w:sz w:val="32"/>
          <w:szCs w:val="32"/>
        </w:rPr>
        <w:t>办法》《浙江省非煤矿山外包工程安全管理暂行办法实施细则》《浙江省非煤矿矿山企业安全生产许可证实施细则》《浙江省矿山建设项目安全设施</w:t>
      </w:r>
      <w:r w:rsidRPr="00D563A5">
        <w:rPr>
          <w:rFonts w:eastAsia="仿宋_GB2312"/>
          <w:color w:val="000000" w:themeColor="text1"/>
          <w:sz w:val="32"/>
          <w:szCs w:val="32"/>
        </w:rPr>
        <w:t>“</w:t>
      </w:r>
      <w:r w:rsidRPr="00D563A5">
        <w:rPr>
          <w:rFonts w:eastAsia="仿宋_GB2312"/>
          <w:color w:val="000000" w:themeColor="text1"/>
          <w:sz w:val="32"/>
          <w:szCs w:val="32"/>
        </w:rPr>
        <w:t>三同时</w:t>
      </w:r>
      <w:r w:rsidRPr="00D563A5">
        <w:rPr>
          <w:rFonts w:eastAsia="仿宋_GB2312"/>
          <w:color w:val="000000" w:themeColor="text1"/>
          <w:sz w:val="32"/>
          <w:szCs w:val="32"/>
        </w:rPr>
        <w:t>”</w:t>
      </w:r>
      <w:r w:rsidRPr="00D563A5">
        <w:rPr>
          <w:rFonts w:eastAsia="仿宋_GB2312"/>
          <w:color w:val="000000" w:themeColor="text1"/>
          <w:sz w:val="32"/>
          <w:szCs w:val="32"/>
        </w:rPr>
        <w:t>监督管理办法》</w:t>
      </w:r>
      <w:r w:rsidRPr="00D563A5">
        <w:rPr>
          <w:rFonts w:eastAsia="仿宋_GB2312"/>
          <w:color w:val="000000" w:themeColor="text1"/>
          <w:sz w:val="32"/>
          <w:szCs w:val="32"/>
        </w:rPr>
        <w:lastRenderedPageBreak/>
        <w:t>《浙江省新办矿山联合踏勘安全生产工作指导意见》等。</w:t>
      </w:r>
    </w:p>
    <w:p w:rsidR="00D60BD3" w:rsidRPr="00D563A5" w:rsidRDefault="00D60BD3" w:rsidP="00D60BD3">
      <w:pPr>
        <w:spacing w:line="54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4.1.3 </w:t>
      </w:r>
      <w:r w:rsidRPr="00D563A5">
        <w:rPr>
          <w:rFonts w:eastAsia="仿宋_GB2312"/>
          <w:b/>
          <w:color w:val="000000" w:themeColor="text1"/>
          <w:sz w:val="32"/>
          <w:szCs w:val="32"/>
        </w:rPr>
        <w:t>相关标准</w:t>
      </w:r>
    </w:p>
    <w:p w:rsidR="00D60BD3" w:rsidRPr="00D563A5" w:rsidRDefault="00D60BD3" w:rsidP="00D60BD3">
      <w:pPr>
        <w:spacing w:line="540" w:lineRule="exact"/>
        <w:ind w:firstLine="482"/>
        <w:rPr>
          <w:rFonts w:eastAsia="仿宋_GB2312"/>
          <w:color w:val="000000" w:themeColor="text1"/>
          <w:sz w:val="32"/>
          <w:szCs w:val="32"/>
        </w:rPr>
      </w:pPr>
      <w:r w:rsidRPr="00D563A5">
        <w:rPr>
          <w:rFonts w:eastAsia="仿宋_GB2312"/>
          <w:color w:val="000000" w:themeColor="text1"/>
          <w:sz w:val="32"/>
          <w:szCs w:val="32"/>
        </w:rPr>
        <w:t>主要包括：《金属非金属矿山安全规程》《爆破安全规程》《矿山安全标志》《矿山安全术语》《企业安全生产标准化基本规范》《金属非金属矿山安全标准化规范》《尾矿库安全技术规程》等。</w:t>
      </w:r>
    </w:p>
    <w:p w:rsidR="00D60BD3" w:rsidRPr="00D563A5" w:rsidRDefault="00D60BD3" w:rsidP="00D60BD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4.1.4 </w:t>
      </w:r>
      <w:r w:rsidRPr="00D563A5">
        <w:rPr>
          <w:rFonts w:eastAsia="仿宋_GB2312"/>
          <w:b/>
          <w:color w:val="000000" w:themeColor="text1"/>
          <w:sz w:val="32"/>
          <w:szCs w:val="32"/>
        </w:rPr>
        <w:t>其他</w:t>
      </w:r>
      <w:r w:rsidRPr="00D563A5">
        <w:rPr>
          <w:rFonts w:eastAsia="仿宋_GB2312"/>
          <w:b/>
          <w:color w:val="000000" w:themeColor="text1"/>
          <w:sz w:val="32"/>
          <w:szCs w:val="32"/>
        </w:rPr>
        <w:t xml:space="preserve"> </w:t>
      </w:r>
    </w:p>
    <w:p w:rsidR="00D60BD3" w:rsidRPr="00D563A5" w:rsidRDefault="00D60BD3" w:rsidP="00D60BD3">
      <w:pPr>
        <w:spacing w:line="540" w:lineRule="exact"/>
        <w:ind w:firstLine="482"/>
        <w:rPr>
          <w:rFonts w:eastAsia="仿宋_GB2312"/>
          <w:color w:val="000000" w:themeColor="text1"/>
          <w:sz w:val="32"/>
          <w:szCs w:val="32"/>
        </w:rPr>
      </w:pPr>
      <w:r w:rsidRPr="00D563A5">
        <w:rPr>
          <w:rFonts w:eastAsia="仿宋_GB2312"/>
          <w:color w:val="000000" w:themeColor="text1"/>
          <w:sz w:val="32"/>
          <w:szCs w:val="32"/>
        </w:rPr>
        <w:t>金属非金属矿山企业从业人员的安全生产权利与义务。</w:t>
      </w:r>
    </w:p>
    <w:p w:rsidR="00D60BD3" w:rsidRPr="00D563A5" w:rsidRDefault="00D60BD3" w:rsidP="00D60BD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4.2 </w:t>
      </w:r>
      <w:r w:rsidRPr="00D563A5">
        <w:rPr>
          <w:rFonts w:eastAsia="仿宋_GB2312"/>
          <w:b/>
          <w:color w:val="000000" w:themeColor="text1"/>
          <w:sz w:val="32"/>
          <w:szCs w:val="32"/>
        </w:rPr>
        <w:t>矿山安全生产管理</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bCs/>
          <w:color w:val="000000" w:themeColor="text1"/>
          <w:sz w:val="32"/>
          <w:szCs w:val="32"/>
        </w:rPr>
        <w:t>4.2.1</w:t>
      </w:r>
      <w:r w:rsidRPr="00D563A5">
        <w:rPr>
          <w:rFonts w:eastAsia="仿宋_GB2312"/>
          <w:color w:val="000000" w:themeColor="text1"/>
          <w:sz w:val="32"/>
          <w:szCs w:val="32"/>
        </w:rPr>
        <w:t xml:space="preserve"> </w:t>
      </w:r>
      <w:r w:rsidRPr="00D563A5">
        <w:rPr>
          <w:rFonts w:eastAsia="仿宋_GB2312"/>
          <w:color w:val="000000" w:themeColor="text1"/>
          <w:sz w:val="32"/>
          <w:szCs w:val="32"/>
        </w:rPr>
        <w:t>矿山企业安全生产特点。</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bCs/>
          <w:color w:val="000000" w:themeColor="text1"/>
          <w:sz w:val="32"/>
          <w:szCs w:val="32"/>
        </w:rPr>
        <w:t>4.2.2</w:t>
      </w:r>
      <w:r w:rsidRPr="00D563A5">
        <w:rPr>
          <w:rFonts w:eastAsia="仿宋_GB2312"/>
          <w:color w:val="000000" w:themeColor="text1"/>
          <w:sz w:val="32"/>
          <w:szCs w:val="32"/>
        </w:rPr>
        <w:t xml:space="preserve"> </w:t>
      </w:r>
      <w:r w:rsidRPr="00D563A5">
        <w:rPr>
          <w:rFonts w:eastAsia="仿宋_GB2312"/>
          <w:color w:val="000000" w:themeColor="text1"/>
          <w:sz w:val="32"/>
          <w:szCs w:val="32"/>
        </w:rPr>
        <w:t>安全常用术语及安全标志。</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bCs/>
          <w:color w:val="000000" w:themeColor="text1"/>
          <w:sz w:val="32"/>
          <w:szCs w:val="32"/>
        </w:rPr>
        <w:t xml:space="preserve">4.2.3 </w:t>
      </w:r>
      <w:r w:rsidRPr="00D563A5">
        <w:rPr>
          <w:rFonts w:eastAsia="仿宋_GB2312"/>
          <w:color w:val="000000" w:themeColor="text1"/>
          <w:sz w:val="32"/>
          <w:szCs w:val="32"/>
        </w:rPr>
        <w:t>安全管理的概念、内容和对象。</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主要安全生产管理制度，</w:t>
      </w:r>
      <w:bookmarkStart w:id="0" w:name="_Hlk34577574"/>
      <w:r w:rsidRPr="00D563A5">
        <w:rPr>
          <w:rFonts w:eastAsia="仿宋_GB2312"/>
          <w:color w:val="000000" w:themeColor="text1"/>
          <w:sz w:val="32"/>
          <w:szCs w:val="32"/>
        </w:rPr>
        <w:t>矿山企业</w:t>
      </w:r>
      <w:bookmarkEnd w:id="0"/>
      <w:r w:rsidRPr="00D563A5">
        <w:rPr>
          <w:rFonts w:eastAsia="仿宋_GB2312"/>
          <w:color w:val="000000" w:themeColor="text1"/>
          <w:sz w:val="32"/>
          <w:szCs w:val="32"/>
        </w:rPr>
        <w:t>从业人员职责；</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本单位的安全生产情况，安全生产规章制度和劳动纪律；</w:t>
      </w:r>
      <w:r w:rsidRPr="00D563A5">
        <w:rPr>
          <w:rFonts w:eastAsia="仿宋_GB2312"/>
          <w:color w:val="000000" w:themeColor="text1"/>
          <w:sz w:val="32"/>
          <w:szCs w:val="32"/>
        </w:rPr>
        <w:t xml:space="preserve"> </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矿山作业场所常见的危险有害因素；</w:t>
      </w:r>
      <w:r w:rsidRPr="00D563A5">
        <w:rPr>
          <w:rFonts w:eastAsia="仿宋_GB2312"/>
          <w:color w:val="000000" w:themeColor="text1"/>
          <w:sz w:val="32"/>
          <w:szCs w:val="32"/>
        </w:rPr>
        <w:t xml:space="preserve"> </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劳动防护用品的使用和维护要求；</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安全生产标准化和安全文化建设工作的一般内容；</w:t>
      </w:r>
    </w:p>
    <w:p w:rsidR="00D60BD3" w:rsidRPr="00D563A5" w:rsidRDefault="00D60BD3" w:rsidP="00D60BD3">
      <w:pPr>
        <w:spacing w:line="540" w:lineRule="exact"/>
        <w:ind w:left="479"/>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爆破工作有关基本知识作业管理制度和常见爆破事故防范措施；</w:t>
      </w:r>
    </w:p>
    <w:p w:rsidR="00D60BD3" w:rsidRPr="00D563A5" w:rsidRDefault="00D60BD3" w:rsidP="00D60BD3">
      <w:pPr>
        <w:spacing w:line="540" w:lineRule="exact"/>
        <w:ind w:left="479"/>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职业危害、职业病、职业禁忌症的概念；</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尘肺病及矿山作业场所常见的职业危险因素及防范措施；</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健康监护要求。</w:t>
      </w:r>
    </w:p>
    <w:p w:rsidR="00D60BD3" w:rsidRPr="00D563A5" w:rsidRDefault="00D60BD3" w:rsidP="00D60BD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4.3 </w:t>
      </w:r>
      <w:r w:rsidRPr="00D563A5">
        <w:rPr>
          <w:rFonts w:eastAsia="仿宋_GB2312"/>
          <w:b/>
          <w:color w:val="000000" w:themeColor="text1"/>
          <w:sz w:val="32"/>
          <w:szCs w:val="32"/>
        </w:rPr>
        <w:t>露天开采安全</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bCs/>
          <w:color w:val="000000" w:themeColor="text1"/>
          <w:sz w:val="32"/>
          <w:szCs w:val="32"/>
        </w:rPr>
        <w:t>4.3.1</w:t>
      </w:r>
      <w:r w:rsidRPr="00D563A5">
        <w:rPr>
          <w:rFonts w:eastAsia="仿宋_GB2312"/>
          <w:color w:val="000000" w:themeColor="text1"/>
          <w:sz w:val="32"/>
          <w:szCs w:val="32"/>
        </w:rPr>
        <w:t xml:space="preserve"> </w:t>
      </w:r>
      <w:r w:rsidRPr="00D563A5">
        <w:rPr>
          <w:rFonts w:eastAsia="仿宋_GB2312"/>
          <w:color w:val="000000" w:themeColor="text1"/>
          <w:sz w:val="32"/>
          <w:szCs w:val="32"/>
        </w:rPr>
        <w:t>露天矿山基本概念，露天开采工艺概况，露天开采的基本安全要求。</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bCs/>
          <w:color w:val="000000" w:themeColor="text1"/>
          <w:sz w:val="32"/>
          <w:szCs w:val="32"/>
        </w:rPr>
        <w:lastRenderedPageBreak/>
        <w:t xml:space="preserve">4.3.2 </w:t>
      </w:r>
      <w:r w:rsidRPr="00D563A5">
        <w:rPr>
          <w:rFonts w:eastAsia="仿宋_GB2312"/>
          <w:color w:val="000000" w:themeColor="text1"/>
          <w:sz w:val="32"/>
          <w:szCs w:val="32"/>
        </w:rPr>
        <w:t>露天开采作业安全要求，包括凿岩、爆破、铲装、运输、破碎作业过程中存在的主要危险、职业危害因素及其操作安全要求，以及边坡安全管理要求。</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bCs/>
          <w:color w:val="000000" w:themeColor="text1"/>
          <w:sz w:val="32"/>
          <w:szCs w:val="32"/>
        </w:rPr>
        <w:t xml:space="preserve">4.3.3 </w:t>
      </w:r>
      <w:r w:rsidRPr="00D563A5">
        <w:rPr>
          <w:rFonts w:eastAsia="仿宋_GB2312"/>
          <w:color w:val="000000" w:themeColor="text1"/>
          <w:sz w:val="32"/>
          <w:szCs w:val="32"/>
        </w:rPr>
        <w:t>露天矿山常见事故征兆及防范措施。</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bCs/>
          <w:color w:val="000000" w:themeColor="text1"/>
          <w:sz w:val="32"/>
          <w:szCs w:val="32"/>
        </w:rPr>
        <w:t xml:space="preserve">4.3.4 </w:t>
      </w:r>
      <w:r w:rsidRPr="00D563A5">
        <w:rPr>
          <w:rFonts w:eastAsia="仿宋_GB2312"/>
          <w:color w:val="000000" w:themeColor="text1"/>
          <w:sz w:val="32"/>
          <w:szCs w:val="32"/>
        </w:rPr>
        <w:t>典型事故案例。</w:t>
      </w:r>
    </w:p>
    <w:p w:rsidR="00D60BD3" w:rsidRPr="00D563A5" w:rsidRDefault="00D60BD3" w:rsidP="00D60BD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4.4 </w:t>
      </w:r>
      <w:r w:rsidRPr="00D563A5">
        <w:rPr>
          <w:rFonts w:eastAsia="仿宋_GB2312"/>
          <w:b/>
          <w:color w:val="000000" w:themeColor="text1"/>
          <w:sz w:val="32"/>
          <w:szCs w:val="32"/>
        </w:rPr>
        <w:t>地下开采安全</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bCs/>
          <w:color w:val="000000" w:themeColor="text1"/>
          <w:sz w:val="32"/>
          <w:szCs w:val="32"/>
        </w:rPr>
        <w:t xml:space="preserve">4.4.1 </w:t>
      </w:r>
      <w:r w:rsidRPr="00D563A5">
        <w:rPr>
          <w:rFonts w:eastAsia="仿宋_GB2312"/>
          <w:color w:val="000000" w:themeColor="text1"/>
          <w:sz w:val="32"/>
          <w:szCs w:val="32"/>
        </w:rPr>
        <w:t>地下矿山基本概念，地下矿山生产系统、工艺流程概况，地下开采基本安全要求。</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bCs/>
          <w:color w:val="000000" w:themeColor="text1"/>
          <w:sz w:val="32"/>
          <w:szCs w:val="32"/>
        </w:rPr>
        <w:t xml:space="preserve">4.4.2 </w:t>
      </w:r>
      <w:r w:rsidRPr="00D563A5">
        <w:rPr>
          <w:rFonts w:eastAsia="仿宋_GB2312"/>
          <w:color w:val="000000" w:themeColor="text1"/>
          <w:sz w:val="32"/>
          <w:szCs w:val="32"/>
        </w:rPr>
        <w:t>井巷工程施工安全要求，包括井巷工程施工过程中存在的主要危险、职业危害因素，凿岩、爆破、出渣、通风、支护和顶板管理安全要求以及溜井管理要求。</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bCs/>
          <w:color w:val="000000" w:themeColor="text1"/>
          <w:sz w:val="32"/>
          <w:szCs w:val="32"/>
        </w:rPr>
        <w:t xml:space="preserve">4.4.3 </w:t>
      </w:r>
      <w:r w:rsidRPr="00D563A5">
        <w:rPr>
          <w:rFonts w:eastAsia="仿宋_GB2312"/>
          <w:color w:val="000000" w:themeColor="text1"/>
          <w:sz w:val="32"/>
          <w:szCs w:val="32"/>
        </w:rPr>
        <w:t>回采作业安全要求，包括凿岩、爆破、出矿作业过程中存在的危险、职业危害因素以及安全要求，顶板及采空区管理要求。</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bCs/>
          <w:color w:val="000000" w:themeColor="text1"/>
          <w:sz w:val="32"/>
          <w:szCs w:val="32"/>
        </w:rPr>
        <w:t xml:space="preserve">4.4.4 </w:t>
      </w:r>
      <w:r w:rsidRPr="00D563A5">
        <w:rPr>
          <w:rFonts w:eastAsia="仿宋_GB2312"/>
          <w:color w:val="000000" w:themeColor="text1"/>
          <w:sz w:val="32"/>
          <w:szCs w:val="32"/>
        </w:rPr>
        <w:t>提升、运输作业存在的主要危险、职业危害因素及其安全要求。</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bCs/>
          <w:color w:val="000000" w:themeColor="text1"/>
          <w:sz w:val="32"/>
          <w:szCs w:val="32"/>
        </w:rPr>
        <w:t xml:space="preserve">4.4.5 </w:t>
      </w:r>
      <w:r w:rsidRPr="00D563A5">
        <w:rPr>
          <w:rFonts w:eastAsia="仿宋_GB2312"/>
          <w:color w:val="000000" w:themeColor="text1"/>
          <w:sz w:val="32"/>
          <w:szCs w:val="32"/>
        </w:rPr>
        <w:t>井下通风、防尘防毒、防排水、防灭火基本要求。</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bCs/>
          <w:color w:val="000000" w:themeColor="text1"/>
          <w:sz w:val="32"/>
          <w:szCs w:val="32"/>
        </w:rPr>
        <w:t xml:space="preserve">4.4.6 </w:t>
      </w:r>
      <w:r w:rsidRPr="00D563A5">
        <w:rPr>
          <w:rFonts w:eastAsia="仿宋_GB2312"/>
          <w:color w:val="000000" w:themeColor="text1"/>
          <w:sz w:val="32"/>
          <w:szCs w:val="32"/>
        </w:rPr>
        <w:t>地下矿山常见事故征兆及防范措施。</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bCs/>
          <w:color w:val="000000" w:themeColor="text1"/>
          <w:sz w:val="32"/>
          <w:szCs w:val="32"/>
        </w:rPr>
        <w:t xml:space="preserve">4.4.7 </w:t>
      </w:r>
      <w:r w:rsidRPr="00D563A5">
        <w:rPr>
          <w:rFonts w:eastAsia="仿宋_GB2312"/>
          <w:color w:val="000000" w:themeColor="text1"/>
          <w:sz w:val="32"/>
          <w:szCs w:val="32"/>
        </w:rPr>
        <w:t>典型事故案例。</w:t>
      </w:r>
    </w:p>
    <w:p w:rsidR="00D60BD3" w:rsidRPr="00D563A5" w:rsidRDefault="00D60BD3" w:rsidP="00D60BD3">
      <w:pPr>
        <w:spacing w:line="540" w:lineRule="exact"/>
        <w:ind w:firstLine="480"/>
        <w:rPr>
          <w:rFonts w:eastAsia="仿宋_GB2312"/>
          <w:b/>
          <w:color w:val="000000" w:themeColor="text1"/>
          <w:sz w:val="32"/>
          <w:szCs w:val="32"/>
        </w:rPr>
      </w:pPr>
      <w:r w:rsidRPr="00D563A5">
        <w:rPr>
          <w:rFonts w:eastAsia="仿宋_GB2312"/>
          <w:b/>
          <w:color w:val="000000" w:themeColor="text1"/>
          <w:sz w:val="32"/>
          <w:szCs w:val="32"/>
        </w:rPr>
        <w:t xml:space="preserve">4.5 </w:t>
      </w:r>
      <w:r w:rsidRPr="00D563A5">
        <w:rPr>
          <w:rFonts w:eastAsia="仿宋_GB2312"/>
          <w:b/>
          <w:color w:val="000000" w:themeColor="text1"/>
          <w:sz w:val="32"/>
          <w:szCs w:val="32"/>
        </w:rPr>
        <w:t>排土场和尾矿库安全</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color w:val="000000" w:themeColor="text1"/>
          <w:sz w:val="32"/>
          <w:szCs w:val="32"/>
        </w:rPr>
        <w:t xml:space="preserve">4.5.1 </w:t>
      </w:r>
      <w:r w:rsidRPr="00D563A5">
        <w:rPr>
          <w:rFonts w:eastAsia="仿宋_GB2312"/>
          <w:color w:val="000000" w:themeColor="text1"/>
          <w:sz w:val="32"/>
          <w:szCs w:val="32"/>
        </w:rPr>
        <w:t>排土场安全生产要求，包括排土场的概念，常见病害，安全作业要求，典型事故案例。</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color w:val="000000" w:themeColor="text1"/>
          <w:sz w:val="32"/>
          <w:szCs w:val="32"/>
        </w:rPr>
        <w:t>4.5.2</w:t>
      </w:r>
      <w:r w:rsidRPr="00D563A5">
        <w:rPr>
          <w:rFonts w:eastAsia="仿宋_GB2312"/>
          <w:color w:val="000000" w:themeColor="text1"/>
          <w:sz w:val="32"/>
          <w:szCs w:val="32"/>
        </w:rPr>
        <w:t>尾矿库安全生产要求，包括尾矿库的概念，常见事故、病害及其防范措施，典型事故案例。</w:t>
      </w:r>
    </w:p>
    <w:p w:rsidR="00D60BD3" w:rsidRPr="00D563A5" w:rsidRDefault="00D60BD3" w:rsidP="00D60BD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4.6 </w:t>
      </w:r>
      <w:r w:rsidRPr="00D563A5">
        <w:rPr>
          <w:rFonts w:eastAsia="仿宋_GB2312"/>
          <w:b/>
          <w:color w:val="000000" w:themeColor="text1"/>
          <w:sz w:val="32"/>
          <w:szCs w:val="32"/>
        </w:rPr>
        <w:t>机电安全</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color w:val="000000" w:themeColor="text1"/>
          <w:sz w:val="32"/>
          <w:szCs w:val="32"/>
        </w:rPr>
        <w:lastRenderedPageBreak/>
        <w:t xml:space="preserve">4.6.1 </w:t>
      </w:r>
      <w:r w:rsidRPr="00D563A5">
        <w:rPr>
          <w:rFonts w:eastAsia="仿宋_GB2312"/>
          <w:color w:val="000000" w:themeColor="text1"/>
          <w:sz w:val="32"/>
          <w:szCs w:val="32"/>
        </w:rPr>
        <w:t>用电安全。</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bCs/>
          <w:color w:val="000000" w:themeColor="text1"/>
          <w:sz w:val="32"/>
          <w:szCs w:val="32"/>
        </w:rPr>
        <w:t>4.6.2</w:t>
      </w:r>
      <w:r w:rsidRPr="00D563A5">
        <w:rPr>
          <w:rFonts w:eastAsia="仿宋_GB2312"/>
          <w:color w:val="000000" w:themeColor="text1"/>
          <w:sz w:val="32"/>
          <w:szCs w:val="32"/>
        </w:rPr>
        <w:t xml:space="preserve"> </w:t>
      </w:r>
      <w:r w:rsidRPr="00D563A5">
        <w:rPr>
          <w:rFonts w:eastAsia="仿宋_GB2312"/>
          <w:color w:val="000000" w:themeColor="text1"/>
          <w:sz w:val="32"/>
          <w:szCs w:val="32"/>
        </w:rPr>
        <w:t>矿内提升运输安全。</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bCs/>
          <w:color w:val="000000" w:themeColor="text1"/>
          <w:sz w:val="32"/>
          <w:szCs w:val="32"/>
        </w:rPr>
        <w:t>4.6.3</w:t>
      </w:r>
      <w:r w:rsidRPr="00D563A5">
        <w:rPr>
          <w:rFonts w:eastAsia="仿宋_GB2312"/>
          <w:color w:val="000000" w:themeColor="text1"/>
          <w:sz w:val="32"/>
          <w:szCs w:val="32"/>
        </w:rPr>
        <w:t xml:space="preserve"> </w:t>
      </w:r>
      <w:r w:rsidRPr="00D563A5">
        <w:rPr>
          <w:rFonts w:eastAsia="仿宋_GB2312"/>
          <w:color w:val="000000" w:themeColor="text1"/>
          <w:sz w:val="32"/>
          <w:szCs w:val="32"/>
        </w:rPr>
        <w:t>机械操作安全。</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bCs/>
          <w:color w:val="000000" w:themeColor="text1"/>
          <w:sz w:val="32"/>
          <w:szCs w:val="32"/>
        </w:rPr>
        <w:t>4.6.4</w:t>
      </w:r>
      <w:r w:rsidRPr="00D563A5">
        <w:rPr>
          <w:rFonts w:eastAsia="仿宋_GB2312"/>
          <w:color w:val="000000" w:themeColor="text1"/>
          <w:sz w:val="32"/>
          <w:szCs w:val="32"/>
        </w:rPr>
        <w:t xml:space="preserve"> </w:t>
      </w:r>
      <w:r w:rsidRPr="00D563A5">
        <w:rPr>
          <w:rFonts w:eastAsia="仿宋_GB2312"/>
          <w:color w:val="000000" w:themeColor="text1"/>
          <w:sz w:val="32"/>
          <w:szCs w:val="32"/>
        </w:rPr>
        <w:t>典型事故案例。</w:t>
      </w:r>
    </w:p>
    <w:p w:rsidR="00D60BD3" w:rsidRPr="00D563A5" w:rsidRDefault="00D60BD3" w:rsidP="00D60BD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4.7 </w:t>
      </w:r>
      <w:r w:rsidRPr="00D563A5">
        <w:rPr>
          <w:rFonts w:eastAsia="仿宋_GB2312"/>
          <w:b/>
          <w:color w:val="000000" w:themeColor="text1"/>
          <w:sz w:val="32"/>
          <w:szCs w:val="32"/>
        </w:rPr>
        <w:t>事故应急处置、自救与现场急救</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color w:val="000000" w:themeColor="text1"/>
          <w:sz w:val="32"/>
          <w:szCs w:val="32"/>
        </w:rPr>
        <w:t xml:space="preserve">4.7.1 </w:t>
      </w:r>
      <w:r w:rsidRPr="00D563A5">
        <w:rPr>
          <w:rFonts w:eastAsia="仿宋_GB2312"/>
          <w:color w:val="000000" w:themeColor="text1"/>
          <w:sz w:val="32"/>
          <w:szCs w:val="32"/>
        </w:rPr>
        <w:t>事故报告及现场紧急处置（包括火灾、透水、冒顶片帮、中毒窒息、滑坡坍塌等事故的应急处置）。</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color w:val="000000" w:themeColor="text1"/>
          <w:sz w:val="32"/>
          <w:szCs w:val="32"/>
        </w:rPr>
        <w:t xml:space="preserve">4.7.2 </w:t>
      </w:r>
      <w:r w:rsidRPr="00D563A5">
        <w:rPr>
          <w:rFonts w:eastAsia="仿宋_GB2312"/>
          <w:color w:val="000000" w:themeColor="text1"/>
          <w:sz w:val="32"/>
          <w:szCs w:val="32"/>
        </w:rPr>
        <w:t>防险、避灾、自救与互救方法。</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color w:val="000000" w:themeColor="text1"/>
          <w:sz w:val="32"/>
          <w:szCs w:val="32"/>
        </w:rPr>
        <w:t xml:space="preserve">4.7.3 </w:t>
      </w:r>
      <w:r w:rsidRPr="00D563A5">
        <w:rPr>
          <w:rFonts w:eastAsia="仿宋_GB2312"/>
          <w:color w:val="000000" w:themeColor="text1"/>
          <w:sz w:val="32"/>
          <w:szCs w:val="32"/>
        </w:rPr>
        <w:t>创伤急救。</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b/>
          <w:color w:val="000000" w:themeColor="text1"/>
          <w:sz w:val="32"/>
          <w:szCs w:val="32"/>
        </w:rPr>
        <w:t xml:space="preserve">4.7.4 </w:t>
      </w:r>
      <w:r w:rsidRPr="00D563A5">
        <w:rPr>
          <w:rFonts w:eastAsia="仿宋_GB2312"/>
          <w:color w:val="000000" w:themeColor="text1"/>
          <w:sz w:val="32"/>
          <w:szCs w:val="32"/>
        </w:rPr>
        <w:t>典型事故案例。</w:t>
      </w:r>
    </w:p>
    <w:p w:rsidR="00D60BD3" w:rsidRPr="00D563A5" w:rsidRDefault="00D60BD3" w:rsidP="00D60BD3">
      <w:pPr>
        <w:spacing w:line="540" w:lineRule="exact"/>
        <w:ind w:firstLine="482"/>
        <w:rPr>
          <w:rFonts w:eastAsia="仿宋_GB2312"/>
          <w:color w:val="000000" w:themeColor="text1"/>
          <w:sz w:val="32"/>
          <w:szCs w:val="32"/>
        </w:rPr>
      </w:pPr>
      <w:r w:rsidRPr="00D563A5">
        <w:rPr>
          <w:rFonts w:eastAsia="仿宋_GB2312"/>
          <w:b/>
          <w:color w:val="000000" w:themeColor="text1"/>
          <w:sz w:val="32"/>
          <w:szCs w:val="32"/>
        </w:rPr>
        <w:t>5</w:t>
      </w:r>
      <w:r w:rsidRPr="00D563A5">
        <w:rPr>
          <w:rFonts w:eastAsia="仿宋_GB2312"/>
          <w:b/>
          <w:color w:val="000000" w:themeColor="text1"/>
          <w:sz w:val="32"/>
          <w:szCs w:val="32"/>
        </w:rPr>
        <w:t>．再培训内容</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金属非金属矿山从业人员应当按照有关规定，每年进行一次再培训。其内容包括：</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有关安全生产方面的新的法律、法规、国家标准、行业标准、规程和规范；</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有关地质、采矿（露天开采或地下开采）工艺、设备、设施基本安全技术；</w:t>
      </w:r>
    </w:p>
    <w:p w:rsidR="00D60BD3" w:rsidRPr="00D563A5" w:rsidRDefault="00D60BD3" w:rsidP="00D60BD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矿山典型事故案例。</w:t>
      </w:r>
    </w:p>
    <w:p w:rsidR="00D60BD3" w:rsidRPr="00D563A5" w:rsidRDefault="00D60BD3" w:rsidP="00D60BD3">
      <w:pPr>
        <w:spacing w:line="540" w:lineRule="exact"/>
        <w:ind w:firstLine="482"/>
        <w:rPr>
          <w:rFonts w:eastAsia="仿宋_GB2312"/>
          <w:color w:val="000000" w:themeColor="text1"/>
          <w:sz w:val="32"/>
          <w:szCs w:val="32"/>
        </w:rPr>
      </w:pPr>
      <w:r w:rsidRPr="00D563A5">
        <w:rPr>
          <w:rFonts w:eastAsia="仿宋_GB2312"/>
          <w:b/>
          <w:color w:val="000000" w:themeColor="text1"/>
          <w:sz w:val="32"/>
          <w:szCs w:val="32"/>
        </w:rPr>
        <w:t>6</w:t>
      </w:r>
      <w:r w:rsidRPr="00D563A5">
        <w:rPr>
          <w:rFonts w:eastAsia="仿宋_GB2312"/>
          <w:b/>
          <w:color w:val="000000" w:themeColor="text1"/>
          <w:sz w:val="32"/>
          <w:szCs w:val="32"/>
        </w:rPr>
        <w:t>．学时安排</w:t>
      </w:r>
    </w:p>
    <w:p w:rsidR="00D60BD3" w:rsidRPr="00D563A5" w:rsidRDefault="00D60BD3" w:rsidP="00D60BD3">
      <w:pPr>
        <w:spacing w:line="540" w:lineRule="exact"/>
        <w:ind w:firstLine="482"/>
        <w:rPr>
          <w:rFonts w:eastAsia="仿宋_GB2312"/>
          <w:color w:val="000000" w:themeColor="text1"/>
          <w:sz w:val="32"/>
          <w:szCs w:val="32"/>
        </w:rPr>
      </w:pPr>
      <w:r w:rsidRPr="00D563A5">
        <w:rPr>
          <w:rFonts w:eastAsia="仿宋_GB2312"/>
          <w:b/>
          <w:color w:val="000000" w:themeColor="text1"/>
          <w:sz w:val="32"/>
          <w:szCs w:val="32"/>
        </w:rPr>
        <w:t>6.1</w:t>
      </w:r>
      <w:bookmarkStart w:id="1" w:name="__DdeLink__386_4015366999"/>
      <w:r w:rsidRPr="00D563A5">
        <w:rPr>
          <w:rFonts w:eastAsia="仿宋_GB2312"/>
          <w:b/>
          <w:color w:val="000000" w:themeColor="text1"/>
          <w:sz w:val="32"/>
          <w:szCs w:val="32"/>
        </w:rPr>
        <w:t xml:space="preserve"> </w:t>
      </w:r>
      <w:r w:rsidRPr="00D563A5">
        <w:rPr>
          <w:rFonts w:eastAsia="仿宋_GB2312"/>
          <w:color w:val="000000" w:themeColor="text1"/>
          <w:sz w:val="32"/>
          <w:szCs w:val="32"/>
        </w:rPr>
        <w:t>金属非金属矿山</w:t>
      </w:r>
      <w:bookmarkEnd w:id="1"/>
      <w:r w:rsidRPr="00D563A5">
        <w:rPr>
          <w:rFonts w:eastAsia="仿宋_GB2312"/>
          <w:color w:val="000000" w:themeColor="text1"/>
          <w:sz w:val="32"/>
          <w:szCs w:val="32"/>
        </w:rPr>
        <w:t>从业人员的培训时间不少于</w:t>
      </w:r>
      <w:r w:rsidRPr="00D563A5">
        <w:rPr>
          <w:rFonts w:eastAsia="仿宋_GB2312"/>
          <w:color w:val="000000" w:themeColor="text1"/>
          <w:sz w:val="32"/>
          <w:szCs w:val="32"/>
        </w:rPr>
        <w:t>72</w:t>
      </w:r>
      <w:r w:rsidRPr="00D563A5">
        <w:rPr>
          <w:rFonts w:eastAsia="仿宋_GB2312"/>
          <w:color w:val="000000" w:themeColor="text1"/>
          <w:sz w:val="32"/>
          <w:szCs w:val="32"/>
        </w:rPr>
        <w:t>学时，具体培训学时应符合表</w:t>
      </w:r>
      <w:r w:rsidRPr="00D563A5">
        <w:rPr>
          <w:rFonts w:eastAsia="仿宋_GB2312"/>
          <w:color w:val="000000" w:themeColor="text1"/>
          <w:sz w:val="32"/>
          <w:szCs w:val="32"/>
        </w:rPr>
        <w:t>1</w:t>
      </w:r>
      <w:r w:rsidRPr="00D563A5">
        <w:rPr>
          <w:rFonts w:eastAsia="仿宋_GB2312"/>
          <w:color w:val="000000" w:themeColor="text1"/>
          <w:sz w:val="32"/>
          <w:szCs w:val="32"/>
        </w:rPr>
        <w:t>的规定。</w:t>
      </w:r>
    </w:p>
    <w:p w:rsidR="00D60BD3" w:rsidRPr="00D563A5" w:rsidRDefault="00D60BD3" w:rsidP="00D60BD3">
      <w:pPr>
        <w:spacing w:line="54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6.2 </w:t>
      </w:r>
      <w:r w:rsidRPr="00D563A5">
        <w:rPr>
          <w:rFonts w:eastAsia="仿宋_GB2312"/>
          <w:color w:val="000000" w:themeColor="text1"/>
          <w:sz w:val="32"/>
          <w:szCs w:val="32"/>
        </w:rPr>
        <w:t>金属非金属矿山从业人员的再培训时间不少于</w:t>
      </w:r>
      <w:r w:rsidRPr="00D563A5">
        <w:rPr>
          <w:rFonts w:eastAsia="仿宋_GB2312"/>
          <w:color w:val="000000" w:themeColor="text1"/>
          <w:sz w:val="32"/>
          <w:szCs w:val="32"/>
        </w:rPr>
        <w:t>20</w:t>
      </w:r>
      <w:r w:rsidRPr="00D563A5">
        <w:rPr>
          <w:rFonts w:eastAsia="仿宋_GB2312"/>
          <w:color w:val="000000" w:themeColor="text1"/>
          <w:sz w:val="32"/>
          <w:szCs w:val="32"/>
        </w:rPr>
        <w:t>学时。</w:t>
      </w:r>
    </w:p>
    <w:p w:rsidR="00D60BD3" w:rsidRPr="00D563A5" w:rsidRDefault="00D60BD3" w:rsidP="00D60BD3">
      <w:pPr>
        <w:spacing w:line="540" w:lineRule="exact"/>
        <w:ind w:firstLine="480"/>
        <w:rPr>
          <w:rFonts w:eastAsia="仿宋_GB2312"/>
          <w:color w:val="000000" w:themeColor="text1"/>
          <w:sz w:val="32"/>
          <w:szCs w:val="32"/>
        </w:rPr>
      </w:pPr>
    </w:p>
    <w:p w:rsidR="00D60BD3" w:rsidRPr="00D563A5" w:rsidRDefault="00D60BD3" w:rsidP="00D60BD3">
      <w:pPr>
        <w:spacing w:line="360" w:lineRule="auto"/>
        <w:ind w:firstLine="480"/>
        <w:rPr>
          <w:color w:val="000000" w:themeColor="text1"/>
          <w:sz w:val="24"/>
        </w:rPr>
      </w:pPr>
    </w:p>
    <w:p w:rsidR="00D60BD3" w:rsidRPr="00D563A5" w:rsidRDefault="00D60BD3" w:rsidP="00D60BD3">
      <w:pPr>
        <w:spacing w:line="360" w:lineRule="auto"/>
        <w:ind w:firstLine="480"/>
        <w:rPr>
          <w:color w:val="000000" w:themeColor="text1"/>
          <w:sz w:val="24"/>
        </w:rPr>
      </w:pPr>
    </w:p>
    <w:p w:rsidR="00D60BD3" w:rsidRPr="00D563A5" w:rsidRDefault="00D60BD3" w:rsidP="00D60BD3">
      <w:pPr>
        <w:spacing w:line="360" w:lineRule="auto"/>
        <w:ind w:firstLine="480"/>
        <w:rPr>
          <w:color w:val="000000" w:themeColor="text1"/>
          <w:sz w:val="24"/>
        </w:rPr>
      </w:pPr>
    </w:p>
    <w:p w:rsidR="00D60BD3" w:rsidRPr="00D563A5" w:rsidRDefault="00D60BD3" w:rsidP="00D60BD3">
      <w:pPr>
        <w:spacing w:line="360" w:lineRule="auto"/>
        <w:jc w:val="center"/>
        <w:rPr>
          <w:rFonts w:eastAsia="黑体"/>
          <w:color w:val="000000" w:themeColor="text1"/>
          <w:sz w:val="24"/>
        </w:rPr>
      </w:pPr>
    </w:p>
    <w:p w:rsidR="00D60BD3" w:rsidRPr="00D563A5" w:rsidRDefault="00D60BD3" w:rsidP="00D60BD3">
      <w:pPr>
        <w:spacing w:line="360" w:lineRule="auto"/>
        <w:jc w:val="center"/>
        <w:rPr>
          <w:rFonts w:eastAsia="华文中宋"/>
          <w:b/>
          <w:color w:val="000000" w:themeColor="text1"/>
          <w:sz w:val="28"/>
          <w:szCs w:val="28"/>
        </w:rPr>
      </w:pPr>
      <w:r w:rsidRPr="00D563A5">
        <w:rPr>
          <w:rFonts w:eastAsia="华文中宋"/>
          <w:b/>
          <w:color w:val="000000" w:themeColor="text1"/>
          <w:sz w:val="28"/>
          <w:szCs w:val="28"/>
        </w:rPr>
        <w:t>表</w:t>
      </w:r>
      <w:r w:rsidRPr="00D563A5">
        <w:rPr>
          <w:rFonts w:eastAsia="华文中宋"/>
          <w:b/>
          <w:color w:val="000000" w:themeColor="text1"/>
          <w:sz w:val="28"/>
          <w:szCs w:val="28"/>
        </w:rPr>
        <w:t xml:space="preserve">1  </w:t>
      </w:r>
      <w:r w:rsidRPr="00D563A5">
        <w:rPr>
          <w:rFonts w:eastAsia="华文中宋"/>
          <w:b/>
          <w:color w:val="000000" w:themeColor="text1"/>
          <w:sz w:val="28"/>
          <w:szCs w:val="28"/>
        </w:rPr>
        <w:t>金属非金属矿山企业从业人员安全技能提升培训课时安排</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074"/>
        <w:gridCol w:w="1152"/>
        <w:gridCol w:w="4031"/>
        <w:gridCol w:w="1344"/>
        <w:gridCol w:w="1345"/>
      </w:tblGrid>
      <w:tr w:rsidR="00601770" w:rsidRPr="00D563A5" w:rsidTr="00D60BD3">
        <w:trPr>
          <w:cantSplit/>
          <w:trHeight w:val="315"/>
        </w:trPr>
        <w:tc>
          <w:tcPr>
            <w:tcW w:w="1244" w:type="pct"/>
            <w:gridSpan w:val="2"/>
            <w:vMerge w:val="restart"/>
            <w:shd w:val="clear" w:color="auto" w:fill="auto"/>
            <w:vAlign w:val="center"/>
          </w:tcPr>
          <w:p w:rsidR="00D60BD3" w:rsidRPr="00D563A5" w:rsidRDefault="00D60BD3" w:rsidP="00D60BD3">
            <w:pPr>
              <w:spacing w:line="460" w:lineRule="exact"/>
              <w:jc w:val="center"/>
              <w:rPr>
                <w:rFonts w:eastAsia="楷体_GB2312"/>
                <w:b/>
                <w:bCs/>
                <w:color w:val="000000" w:themeColor="text1"/>
                <w:sz w:val="24"/>
              </w:rPr>
            </w:pPr>
            <w:r w:rsidRPr="00D563A5">
              <w:rPr>
                <w:rFonts w:eastAsia="楷体_GB2312"/>
                <w:b/>
                <w:bCs/>
                <w:color w:val="000000" w:themeColor="text1"/>
                <w:sz w:val="24"/>
              </w:rPr>
              <w:t>项</w:t>
            </w:r>
            <w:r w:rsidRPr="00D563A5">
              <w:rPr>
                <w:rFonts w:eastAsia="楷体_GB2312"/>
                <w:b/>
                <w:bCs/>
                <w:color w:val="000000" w:themeColor="text1"/>
                <w:sz w:val="24"/>
              </w:rPr>
              <w:t xml:space="preserve">  </w:t>
            </w:r>
            <w:r w:rsidRPr="00D563A5">
              <w:rPr>
                <w:rFonts w:eastAsia="楷体_GB2312"/>
                <w:b/>
                <w:bCs/>
                <w:color w:val="000000" w:themeColor="text1"/>
                <w:sz w:val="24"/>
              </w:rPr>
              <w:t>目</w:t>
            </w:r>
          </w:p>
        </w:tc>
        <w:tc>
          <w:tcPr>
            <w:tcW w:w="2253" w:type="pct"/>
            <w:vMerge w:val="restart"/>
            <w:shd w:val="clear" w:color="auto" w:fill="auto"/>
            <w:vAlign w:val="center"/>
          </w:tcPr>
          <w:p w:rsidR="00D60BD3" w:rsidRPr="00D563A5" w:rsidRDefault="00D60BD3" w:rsidP="00D60BD3">
            <w:pPr>
              <w:spacing w:line="460" w:lineRule="exact"/>
              <w:jc w:val="center"/>
              <w:rPr>
                <w:rFonts w:eastAsia="楷体_GB2312"/>
                <w:b/>
                <w:bCs/>
                <w:color w:val="000000" w:themeColor="text1"/>
                <w:sz w:val="24"/>
              </w:rPr>
            </w:pPr>
            <w:r w:rsidRPr="00D563A5">
              <w:rPr>
                <w:rFonts w:eastAsia="楷体_GB2312"/>
                <w:b/>
                <w:bCs/>
                <w:color w:val="000000" w:themeColor="text1"/>
                <w:sz w:val="24"/>
              </w:rPr>
              <w:t>培</w:t>
            </w:r>
            <w:r w:rsidRPr="00D563A5">
              <w:rPr>
                <w:rFonts w:eastAsia="楷体_GB2312"/>
                <w:b/>
                <w:bCs/>
                <w:color w:val="000000" w:themeColor="text1"/>
                <w:sz w:val="24"/>
              </w:rPr>
              <w:t xml:space="preserve"> </w:t>
            </w:r>
            <w:r w:rsidRPr="00D563A5">
              <w:rPr>
                <w:rFonts w:eastAsia="楷体_GB2312"/>
                <w:b/>
                <w:bCs/>
                <w:color w:val="000000" w:themeColor="text1"/>
                <w:sz w:val="24"/>
              </w:rPr>
              <w:t>训</w:t>
            </w:r>
            <w:r w:rsidRPr="00D563A5">
              <w:rPr>
                <w:rFonts w:eastAsia="楷体_GB2312"/>
                <w:b/>
                <w:bCs/>
                <w:color w:val="000000" w:themeColor="text1"/>
                <w:sz w:val="24"/>
              </w:rPr>
              <w:t xml:space="preserve"> </w:t>
            </w:r>
            <w:r w:rsidRPr="00D563A5">
              <w:rPr>
                <w:rFonts w:eastAsia="楷体_GB2312"/>
                <w:b/>
                <w:bCs/>
                <w:color w:val="000000" w:themeColor="text1"/>
                <w:sz w:val="24"/>
              </w:rPr>
              <w:t>内</w:t>
            </w:r>
            <w:r w:rsidRPr="00D563A5">
              <w:rPr>
                <w:rFonts w:eastAsia="楷体_GB2312"/>
                <w:b/>
                <w:bCs/>
                <w:color w:val="000000" w:themeColor="text1"/>
                <w:sz w:val="24"/>
              </w:rPr>
              <w:t xml:space="preserve"> </w:t>
            </w:r>
            <w:r w:rsidRPr="00D563A5">
              <w:rPr>
                <w:rFonts w:eastAsia="楷体_GB2312"/>
                <w:b/>
                <w:bCs/>
                <w:color w:val="000000" w:themeColor="text1"/>
                <w:sz w:val="24"/>
              </w:rPr>
              <w:t>容</w:t>
            </w:r>
          </w:p>
        </w:tc>
        <w:tc>
          <w:tcPr>
            <w:tcW w:w="1503" w:type="pct"/>
            <w:gridSpan w:val="2"/>
            <w:shd w:val="clear" w:color="auto" w:fill="auto"/>
            <w:vAlign w:val="center"/>
          </w:tcPr>
          <w:p w:rsidR="00D60BD3" w:rsidRPr="00D563A5" w:rsidRDefault="00D60BD3" w:rsidP="00D60BD3">
            <w:pPr>
              <w:spacing w:line="460" w:lineRule="exact"/>
              <w:jc w:val="center"/>
              <w:rPr>
                <w:rFonts w:eastAsia="楷体_GB2312"/>
                <w:b/>
                <w:bCs/>
                <w:color w:val="000000" w:themeColor="text1"/>
                <w:sz w:val="24"/>
              </w:rPr>
            </w:pPr>
            <w:r w:rsidRPr="00D563A5">
              <w:rPr>
                <w:rFonts w:eastAsia="楷体_GB2312"/>
                <w:b/>
                <w:bCs/>
                <w:color w:val="000000" w:themeColor="text1"/>
                <w:sz w:val="24"/>
              </w:rPr>
              <w:t>学</w:t>
            </w:r>
            <w:r w:rsidRPr="00D563A5">
              <w:rPr>
                <w:rFonts w:eastAsia="楷体_GB2312"/>
                <w:b/>
                <w:bCs/>
                <w:color w:val="000000" w:themeColor="text1"/>
                <w:sz w:val="24"/>
              </w:rPr>
              <w:t xml:space="preserve"> </w:t>
            </w:r>
            <w:r w:rsidRPr="00D563A5">
              <w:rPr>
                <w:rFonts w:eastAsia="楷体_GB2312"/>
                <w:b/>
                <w:bCs/>
                <w:color w:val="000000" w:themeColor="text1"/>
                <w:sz w:val="24"/>
              </w:rPr>
              <w:t>时</w:t>
            </w:r>
          </w:p>
        </w:tc>
      </w:tr>
      <w:tr w:rsidR="00601770" w:rsidRPr="00D563A5" w:rsidTr="00D60BD3">
        <w:trPr>
          <w:cantSplit/>
          <w:trHeight w:val="326"/>
        </w:trPr>
        <w:tc>
          <w:tcPr>
            <w:tcW w:w="1244" w:type="pct"/>
            <w:gridSpan w:val="2"/>
            <w:vMerge/>
            <w:shd w:val="clear" w:color="auto" w:fill="auto"/>
            <w:vAlign w:val="center"/>
          </w:tcPr>
          <w:p w:rsidR="00D60BD3" w:rsidRPr="00D563A5" w:rsidRDefault="00D60BD3" w:rsidP="00D60BD3">
            <w:pPr>
              <w:spacing w:line="460" w:lineRule="exact"/>
              <w:jc w:val="center"/>
              <w:rPr>
                <w:rFonts w:eastAsia="楷体_GB2312"/>
                <w:b/>
                <w:bCs/>
                <w:color w:val="000000" w:themeColor="text1"/>
                <w:sz w:val="24"/>
              </w:rPr>
            </w:pPr>
          </w:p>
        </w:tc>
        <w:tc>
          <w:tcPr>
            <w:tcW w:w="2253" w:type="pct"/>
            <w:vMerge/>
            <w:shd w:val="clear" w:color="auto" w:fill="auto"/>
            <w:vAlign w:val="center"/>
          </w:tcPr>
          <w:p w:rsidR="00D60BD3" w:rsidRPr="00D563A5" w:rsidRDefault="00D60BD3" w:rsidP="00D60BD3">
            <w:pPr>
              <w:spacing w:line="460" w:lineRule="exact"/>
              <w:jc w:val="center"/>
              <w:rPr>
                <w:rFonts w:eastAsia="楷体_GB2312"/>
                <w:b/>
                <w:bCs/>
                <w:color w:val="000000" w:themeColor="text1"/>
                <w:sz w:val="24"/>
              </w:rPr>
            </w:pPr>
          </w:p>
        </w:tc>
        <w:tc>
          <w:tcPr>
            <w:tcW w:w="751" w:type="pct"/>
            <w:shd w:val="clear" w:color="auto" w:fill="auto"/>
            <w:vAlign w:val="center"/>
          </w:tcPr>
          <w:p w:rsidR="00D60BD3" w:rsidRPr="00D563A5" w:rsidRDefault="00D60BD3" w:rsidP="00D60BD3">
            <w:pPr>
              <w:spacing w:line="460" w:lineRule="exact"/>
              <w:jc w:val="center"/>
              <w:rPr>
                <w:rFonts w:eastAsia="楷体_GB2312"/>
                <w:b/>
                <w:bCs/>
                <w:color w:val="000000" w:themeColor="text1"/>
                <w:sz w:val="24"/>
              </w:rPr>
            </w:pPr>
            <w:r w:rsidRPr="00D563A5">
              <w:rPr>
                <w:rFonts w:eastAsia="楷体_GB2312"/>
                <w:b/>
                <w:bCs/>
                <w:color w:val="000000" w:themeColor="text1"/>
                <w:sz w:val="24"/>
              </w:rPr>
              <w:t>露天矿山</w:t>
            </w:r>
          </w:p>
        </w:tc>
        <w:tc>
          <w:tcPr>
            <w:tcW w:w="752" w:type="pct"/>
            <w:shd w:val="clear" w:color="auto" w:fill="auto"/>
            <w:vAlign w:val="center"/>
          </w:tcPr>
          <w:p w:rsidR="00D60BD3" w:rsidRPr="00D563A5" w:rsidRDefault="00D60BD3" w:rsidP="00D60BD3">
            <w:pPr>
              <w:spacing w:line="460" w:lineRule="exact"/>
              <w:jc w:val="center"/>
              <w:rPr>
                <w:rFonts w:eastAsia="楷体_GB2312"/>
                <w:b/>
                <w:bCs/>
                <w:color w:val="000000" w:themeColor="text1"/>
                <w:sz w:val="24"/>
              </w:rPr>
            </w:pPr>
            <w:r w:rsidRPr="00D563A5">
              <w:rPr>
                <w:rFonts w:eastAsia="楷体_GB2312"/>
                <w:b/>
                <w:bCs/>
                <w:color w:val="000000" w:themeColor="text1"/>
                <w:sz w:val="24"/>
              </w:rPr>
              <w:t>地下矿山</w:t>
            </w:r>
          </w:p>
        </w:tc>
      </w:tr>
      <w:tr w:rsidR="00601770" w:rsidRPr="00D563A5" w:rsidTr="00D60BD3">
        <w:trPr>
          <w:cantSplit/>
          <w:trHeight w:val="379"/>
        </w:trPr>
        <w:tc>
          <w:tcPr>
            <w:tcW w:w="600" w:type="pct"/>
            <w:vMerge w:val="restar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培训</w:t>
            </w:r>
          </w:p>
        </w:tc>
        <w:tc>
          <w:tcPr>
            <w:tcW w:w="644" w:type="pct"/>
            <w:shd w:val="clear" w:color="auto" w:fill="auto"/>
            <w:vAlign w:val="center"/>
          </w:tcPr>
          <w:p w:rsidR="00D60BD3" w:rsidRPr="00D563A5" w:rsidRDefault="00D60BD3" w:rsidP="00D60BD3">
            <w:pPr>
              <w:spacing w:line="460" w:lineRule="exact"/>
              <w:rPr>
                <w:color w:val="000000" w:themeColor="text1"/>
                <w:szCs w:val="21"/>
              </w:rPr>
            </w:pPr>
            <w:r w:rsidRPr="00D563A5">
              <w:rPr>
                <w:color w:val="000000" w:themeColor="text1"/>
                <w:szCs w:val="21"/>
              </w:rPr>
              <w:t>第一单元</w:t>
            </w:r>
          </w:p>
        </w:tc>
        <w:tc>
          <w:tcPr>
            <w:tcW w:w="2253" w:type="pct"/>
            <w:shd w:val="clear" w:color="auto" w:fill="auto"/>
            <w:vAlign w:val="center"/>
          </w:tcPr>
          <w:p w:rsidR="00D60BD3" w:rsidRPr="00D563A5" w:rsidRDefault="00D60BD3" w:rsidP="00D60BD3">
            <w:pPr>
              <w:spacing w:line="460" w:lineRule="exact"/>
              <w:rPr>
                <w:color w:val="000000" w:themeColor="text1"/>
                <w:szCs w:val="21"/>
              </w:rPr>
            </w:pPr>
            <w:r w:rsidRPr="00D563A5">
              <w:rPr>
                <w:color w:val="000000" w:themeColor="text1"/>
                <w:szCs w:val="21"/>
              </w:rPr>
              <w:t>安全生产法律法规</w:t>
            </w:r>
          </w:p>
        </w:tc>
        <w:tc>
          <w:tcPr>
            <w:tcW w:w="751"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6</w:t>
            </w:r>
          </w:p>
        </w:tc>
        <w:tc>
          <w:tcPr>
            <w:tcW w:w="752"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6</w:t>
            </w:r>
          </w:p>
        </w:tc>
      </w:tr>
      <w:tr w:rsidR="00601770" w:rsidRPr="00D563A5" w:rsidTr="00D60BD3">
        <w:trPr>
          <w:cantSplit/>
          <w:trHeight w:val="343"/>
        </w:trPr>
        <w:tc>
          <w:tcPr>
            <w:tcW w:w="600" w:type="pct"/>
            <w:vMerge/>
            <w:shd w:val="clear" w:color="auto" w:fill="auto"/>
            <w:vAlign w:val="center"/>
          </w:tcPr>
          <w:p w:rsidR="00D60BD3" w:rsidRPr="00D563A5" w:rsidRDefault="00D60BD3" w:rsidP="00D60BD3">
            <w:pPr>
              <w:spacing w:line="460" w:lineRule="exact"/>
              <w:jc w:val="center"/>
              <w:rPr>
                <w:color w:val="000000" w:themeColor="text1"/>
                <w:szCs w:val="21"/>
              </w:rPr>
            </w:pPr>
          </w:p>
        </w:tc>
        <w:tc>
          <w:tcPr>
            <w:tcW w:w="644" w:type="pct"/>
            <w:shd w:val="clear" w:color="auto" w:fill="auto"/>
            <w:vAlign w:val="center"/>
          </w:tcPr>
          <w:p w:rsidR="00D60BD3" w:rsidRPr="00D563A5" w:rsidRDefault="00D60BD3" w:rsidP="00D60BD3">
            <w:pPr>
              <w:spacing w:line="460" w:lineRule="exact"/>
              <w:rPr>
                <w:color w:val="000000" w:themeColor="text1"/>
                <w:szCs w:val="21"/>
              </w:rPr>
            </w:pPr>
            <w:r w:rsidRPr="00D563A5">
              <w:rPr>
                <w:color w:val="000000" w:themeColor="text1"/>
                <w:szCs w:val="21"/>
              </w:rPr>
              <w:t>第二单元</w:t>
            </w:r>
          </w:p>
        </w:tc>
        <w:tc>
          <w:tcPr>
            <w:tcW w:w="2253" w:type="pct"/>
            <w:shd w:val="clear" w:color="auto" w:fill="auto"/>
            <w:vAlign w:val="center"/>
          </w:tcPr>
          <w:p w:rsidR="00D60BD3" w:rsidRPr="00D563A5" w:rsidRDefault="00D60BD3" w:rsidP="00D60BD3">
            <w:pPr>
              <w:spacing w:line="460" w:lineRule="exact"/>
              <w:rPr>
                <w:color w:val="000000" w:themeColor="text1"/>
                <w:szCs w:val="21"/>
              </w:rPr>
            </w:pPr>
            <w:r w:rsidRPr="00D563A5">
              <w:rPr>
                <w:color w:val="000000" w:themeColor="text1"/>
                <w:szCs w:val="21"/>
              </w:rPr>
              <w:t>矿山安全生产管理</w:t>
            </w:r>
          </w:p>
        </w:tc>
        <w:tc>
          <w:tcPr>
            <w:tcW w:w="751"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14</w:t>
            </w:r>
          </w:p>
        </w:tc>
        <w:tc>
          <w:tcPr>
            <w:tcW w:w="752"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14</w:t>
            </w:r>
          </w:p>
        </w:tc>
      </w:tr>
      <w:tr w:rsidR="00601770" w:rsidRPr="00D563A5" w:rsidTr="00D60BD3">
        <w:trPr>
          <w:cantSplit/>
          <w:trHeight w:val="388"/>
        </w:trPr>
        <w:tc>
          <w:tcPr>
            <w:tcW w:w="600" w:type="pct"/>
            <w:vMerge/>
            <w:shd w:val="clear" w:color="auto" w:fill="auto"/>
            <w:vAlign w:val="center"/>
          </w:tcPr>
          <w:p w:rsidR="00D60BD3" w:rsidRPr="00D563A5" w:rsidRDefault="00D60BD3" w:rsidP="00D60BD3">
            <w:pPr>
              <w:spacing w:line="460" w:lineRule="exact"/>
              <w:jc w:val="center"/>
              <w:rPr>
                <w:color w:val="000000" w:themeColor="text1"/>
                <w:szCs w:val="21"/>
              </w:rPr>
            </w:pPr>
          </w:p>
        </w:tc>
        <w:tc>
          <w:tcPr>
            <w:tcW w:w="644" w:type="pct"/>
            <w:shd w:val="clear" w:color="auto" w:fill="auto"/>
            <w:vAlign w:val="center"/>
          </w:tcPr>
          <w:p w:rsidR="00D60BD3" w:rsidRPr="00D563A5" w:rsidRDefault="00D60BD3" w:rsidP="00D60BD3">
            <w:pPr>
              <w:spacing w:line="460" w:lineRule="exact"/>
              <w:rPr>
                <w:color w:val="000000" w:themeColor="text1"/>
                <w:szCs w:val="21"/>
              </w:rPr>
            </w:pPr>
            <w:r w:rsidRPr="00D563A5">
              <w:rPr>
                <w:color w:val="000000" w:themeColor="text1"/>
                <w:szCs w:val="21"/>
              </w:rPr>
              <w:t>第三单元</w:t>
            </w:r>
          </w:p>
        </w:tc>
        <w:tc>
          <w:tcPr>
            <w:tcW w:w="2253" w:type="pct"/>
            <w:shd w:val="clear" w:color="auto" w:fill="auto"/>
            <w:vAlign w:val="center"/>
          </w:tcPr>
          <w:p w:rsidR="00D60BD3" w:rsidRPr="00D563A5" w:rsidRDefault="00D60BD3" w:rsidP="00D60BD3">
            <w:pPr>
              <w:spacing w:line="460" w:lineRule="exact"/>
              <w:rPr>
                <w:color w:val="000000" w:themeColor="text1"/>
                <w:szCs w:val="21"/>
              </w:rPr>
            </w:pPr>
            <w:r w:rsidRPr="00D563A5">
              <w:rPr>
                <w:color w:val="000000" w:themeColor="text1"/>
                <w:szCs w:val="21"/>
              </w:rPr>
              <w:t>露天开采安全或地下开采安全</w:t>
            </w:r>
          </w:p>
        </w:tc>
        <w:tc>
          <w:tcPr>
            <w:tcW w:w="751"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24</w:t>
            </w:r>
          </w:p>
        </w:tc>
        <w:tc>
          <w:tcPr>
            <w:tcW w:w="752"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24</w:t>
            </w:r>
          </w:p>
        </w:tc>
      </w:tr>
      <w:tr w:rsidR="00601770" w:rsidRPr="00D563A5" w:rsidTr="00D60BD3">
        <w:trPr>
          <w:cantSplit/>
          <w:trHeight w:val="380"/>
        </w:trPr>
        <w:tc>
          <w:tcPr>
            <w:tcW w:w="600" w:type="pct"/>
            <w:vMerge/>
            <w:shd w:val="clear" w:color="auto" w:fill="auto"/>
            <w:vAlign w:val="center"/>
          </w:tcPr>
          <w:p w:rsidR="00D60BD3" w:rsidRPr="00D563A5" w:rsidRDefault="00D60BD3" w:rsidP="00D60BD3">
            <w:pPr>
              <w:spacing w:line="460" w:lineRule="exact"/>
              <w:jc w:val="center"/>
              <w:rPr>
                <w:color w:val="000000" w:themeColor="text1"/>
                <w:szCs w:val="21"/>
              </w:rPr>
            </w:pPr>
          </w:p>
        </w:tc>
        <w:tc>
          <w:tcPr>
            <w:tcW w:w="644" w:type="pct"/>
            <w:shd w:val="clear" w:color="auto" w:fill="auto"/>
            <w:vAlign w:val="center"/>
          </w:tcPr>
          <w:p w:rsidR="00D60BD3" w:rsidRPr="00D563A5" w:rsidRDefault="00D60BD3" w:rsidP="00D60BD3">
            <w:pPr>
              <w:spacing w:line="460" w:lineRule="exact"/>
              <w:rPr>
                <w:color w:val="000000" w:themeColor="text1"/>
                <w:szCs w:val="21"/>
              </w:rPr>
            </w:pPr>
            <w:r w:rsidRPr="00D563A5">
              <w:rPr>
                <w:color w:val="000000" w:themeColor="text1"/>
                <w:szCs w:val="21"/>
              </w:rPr>
              <w:t>第四单元</w:t>
            </w:r>
          </w:p>
        </w:tc>
        <w:tc>
          <w:tcPr>
            <w:tcW w:w="2253" w:type="pct"/>
            <w:shd w:val="clear" w:color="auto" w:fill="auto"/>
            <w:vAlign w:val="center"/>
          </w:tcPr>
          <w:p w:rsidR="00D60BD3" w:rsidRPr="00D563A5" w:rsidRDefault="00D60BD3" w:rsidP="00D60BD3">
            <w:pPr>
              <w:spacing w:line="460" w:lineRule="exact"/>
              <w:rPr>
                <w:color w:val="000000" w:themeColor="text1"/>
                <w:szCs w:val="21"/>
              </w:rPr>
            </w:pPr>
            <w:r w:rsidRPr="00D563A5">
              <w:rPr>
                <w:color w:val="000000" w:themeColor="text1"/>
                <w:szCs w:val="21"/>
              </w:rPr>
              <w:t>排土场和尾矿库安全</w:t>
            </w:r>
          </w:p>
        </w:tc>
        <w:tc>
          <w:tcPr>
            <w:tcW w:w="751"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4</w:t>
            </w:r>
          </w:p>
        </w:tc>
        <w:tc>
          <w:tcPr>
            <w:tcW w:w="752"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4</w:t>
            </w:r>
          </w:p>
        </w:tc>
      </w:tr>
      <w:tr w:rsidR="00601770" w:rsidRPr="00D563A5" w:rsidTr="00D60BD3">
        <w:trPr>
          <w:cantSplit/>
          <w:trHeight w:val="353"/>
        </w:trPr>
        <w:tc>
          <w:tcPr>
            <w:tcW w:w="600" w:type="pct"/>
            <w:vMerge/>
            <w:shd w:val="clear" w:color="auto" w:fill="auto"/>
            <w:vAlign w:val="center"/>
          </w:tcPr>
          <w:p w:rsidR="00D60BD3" w:rsidRPr="00D563A5" w:rsidRDefault="00D60BD3" w:rsidP="00D60BD3">
            <w:pPr>
              <w:spacing w:line="460" w:lineRule="exact"/>
              <w:jc w:val="center"/>
              <w:rPr>
                <w:color w:val="000000" w:themeColor="text1"/>
                <w:szCs w:val="21"/>
              </w:rPr>
            </w:pPr>
          </w:p>
        </w:tc>
        <w:tc>
          <w:tcPr>
            <w:tcW w:w="644" w:type="pct"/>
            <w:shd w:val="clear" w:color="auto" w:fill="auto"/>
            <w:vAlign w:val="center"/>
          </w:tcPr>
          <w:p w:rsidR="00D60BD3" w:rsidRPr="00D563A5" w:rsidRDefault="00D60BD3" w:rsidP="00D60BD3">
            <w:pPr>
              <w:spacing w:line="460" w:lineRule="exact"/>
              <w:rPr>
                <w:color w:val="000000" w:themeColor="text1"/>
                <w:szCs w:val="21"/>
              </w:rPr>
            </w:pPr>
            <w:r w:rsidRPr="00D563A5">
              <w:rPr>
                <w:color w:val="000000" w:themeColor="text1"/>
                <w:szCs w:val="21"/>
              </w:rPr>
              <w:t>第五单元</w:t>
            </w:r>
          </w:p>
        </w:tc>
        <w:tc>
          <w:tcPr>
            <w:tcW w:w="2253" w:type="pct"/>
            <w:shd w:val="clear" w:color="auto" w:fill="auto"/>
            <w:vAlign w:val="center"/>
          </w:tcPr>
          <w:p w:rsidR="00D60BD3" w:rsidRPr="00D563A5" w:rsidRDefault="00D60BD3" w:rsidP="00D60BD3">
            <w:pPr>
              <w:spacing w:line="460" w:lineRule="exact"/>
              <w:rPr>
                <w:color w:val="000000" w:themeColor="text1"/>
                <w:szCs w:val="21"/>
              </w:rPr>
            </w:pPr>
            <w:r w:rsidRPr="00D563A5">
              <w:rPr>
                <w:color w:val="000000" w:themeColor="text1"/>
                <w:szCs w:val="21"/>
              </w:rPr>
              <w:t>机电安全</w:t>
            </w:r>
          </w:p>
        </w:tc>
        <w:tc>
          <w:tcPr>
            <w:tcW w:w="751"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6</w:t>
            </w:r>
          </w:p>
        </w:tc>
        <w:tc>
          <w:tcPr>
            <w:tcW w:w="752"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6</w:t>
            </w:r>
          </w:p>
        </w:tc>
      </w:tr>
      <w:tr w:rsidR="00601770" w:rsidRPr="00D563A5" w:rsidTr="00D60BD3">
        <w:trPr>
          <w:cantSplit/>
          <w:trHeight w:val="371"/>
        </w:trPr>
        <w:tc>
          <w:tcPr>
            <w:tcW w:w="600" w:type="pct"/>
            <w:vMerge/>
            <w:shd w:val="clear" w:color="auto" w:fill="auto"/>
          </w:tcPr>
          <w:p w:rsidR="00D60BD3" w:rsidRPr="00D563A5" w:rsidRDefault="00D60BD3" w:rsidP="00D60BD3">
            <w:pPr>
              <w:spacing w:line="460" w:lineRule="exact"/>
              <w:jc w:val="center"/>
              <w:rPr>
                <w:color w:val="000000" w:themeColor="text1"/>
                <w:szCs w:val="21"/>
              </w:rPr>
            </w:pPr>
          </w:p>
        </w:tc>
        <w:tc>
          <w:tcPr>
            <w:tcW w:w="644" w:type="pct"/>
            <w:shd w:val="clear" w:color="auto" w:fill="auto"/>
            <w:vAlign w:val="center"/>
          </w:tcPr>
          <w:p w:rsidR="00D60BD3" w:rsidRPr="00D563A5" w:rsidRDefault="00D60BD3" w:rsidP="00D60BD3">
            <w:pPr>
              <w:spacing w:line="460" w:lineRule="exact"/>
              <w:rPr>
                <w:color w:val="000000" w:themeColor="text1"/>
                <w:szCs w:val="21"/>
              </w:rPr>
            </w:pPr>
            <w:r w:rsidRPr="00D563A5">
              <w:rPr>
                <w:color w:val="000000" w:themeColor="text1"/>
                <w:szCs w:val="21"/>
              </w:rPr>
              <w:t>第六单元</w:t>
            </w:r>
          </w:p>
        </w:tc>
        <w:tc>
          <w:tcPr>
            <w:tcW w:w="2253" w:type="pct"/>
            <w:shd w:val="clear" w:color="auto" w:fill="auto"/>
            <w:vAlign w:val="center"/>
          </w:tcPr>
          <w:p w:rsidR="00D60BD3" w:rsidRPr="00D563A5" w:rsidRDefault="00D60BD3" w:rsidP="00D60BD3">
            <w:pPr>
              <w:spacing w:line="460" w:lineRule="exact"/>
              <w:rPr>
                <w:color w:val="000000" w:themeColor="text1"/>
                <w:szCs w:val="21"/>
              </w:rPr>
            </w:pPr>
            <w:r w:rsidRPr="00D563A5">
              <w:rPr>
                <w:color w:val="000000" w:themeColor="text1"/>
                <w:szCs w:val="21"/>
              </w:rPr>
              <w:t>事故应急处置、自救与现场急救</w:t>
            </w:r>
          </w:p>
        </w:tc>
        <w:tc>
          <w:tcPr>
            <w:tcW w:w="751"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12</w:t>
            </w:r>
          </w:p>
        </w:tc>
        <w:tc>
          <w:tcPr>
            <w:tcW w:w="752"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12</w:t>
            </w:r>
          </w:p>
        </w:tc>
      </w:tr>
      <w:tr w:rsidR="00601770" w:rsidRPr="00D563A5" w:rsidTr="00D60BD3">
        <w:trPr>
          <w:cantSplit/>
          <w:trHeight w:val="425"/>
        </w:trPr>
        <w:tc>
          <w:tcPr>
            <w:tcW w:w="600" w:type="pct"/>
            <w:vMerge/>
            <w:shd w:val="clear" w:color="auto" w:fill="auto"/>
          </w:tcPr>
          <w:p w:rsidR="00D60BD3" w:rsidRPr="00D563A5" w:rsidRDefault="00D60BD3" w:rsidP="00D60BD3">
            <w:pPr>
              <w:pStyle w:val="a4"/>
              <w:pBdr>
                <w:bottom w:val="none" w:sz="0" w:space="0" w:color="auto"/>
              </w:pBdr>
              <w:tabs>
                <w:tab w:val="clear" w:pos="4153"/>
                <w:tab w:val="clear" w:pos="8306"/>
              </w:tabs>
              <w:snapToGrid/>
              <w:spacing w:line="460" w:lineRule="exact"/>
              <w:rPr>
                <w:color w:val="000000" w:themeColor="text1"/>
                <w:sz w:val="21"/>
                <w:szCs w:val="21"/>
              </w:rPr>
            </w:pPr>
          </w:p>
        </w:tc>
        <w:tc>
          <w:tcPr>
            <w:tcW w:w="2897" w:type="pct"/>
            <w:gridSpan w:val="2"/>
            <w:shd w:val="clear" w:color="auto" w:fill="auto"/>
            <w:vAlign w:val="center"/>
          </w:tcPr>
          <w:p w:rsidR="00D60BD3" w:rsidRPr="00D563A5" w:rsidRDefault="00D60BD3" w:rsidP="00D60BD3">
            <w:pPr>
              <w:spacing w:line="460" w:lineRule="exact"/>
              <w:rPr>
                <w:color w:val="000000" w:themeColor="text1"/>
                <w:szCs w:val="21"/>
              </w:rPr>
            </w:pPr>
            <w:r w:rsidRPr="00D563A5">
              <w:rPr>
                <w:color w:val="000000" w:themeColor="text1"/>
                <w:szCs w:val="21"/>
              </w:rPr>
              <w:t>复</w:t>
            </w:r>
            <w:r w:rsidRPr="00D563A5">
              <w:rPr>
                <w:color w:val="000000" w:themeColor="text1"/>
                <w:szCs w:val="21"/>
              </w:rPr>
              <w:t xml:space="preserve"> </w:t>
            </w:r>
            <w:r w:rsidRPr="00D563A5">
              <w:rPr>
                <w:color w:val="000000" w:themeColor="text1"/>
                <w:szCs w:val="21"/>
              </w:rPr>
              <w:t>习</w:t>
            </w:r>
          </w:p>
        </w:tc>
        <w:tc>
          <w:tcPr>
            <w:tcW w:w="751"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4</w:t>
            </w:r>
          </w:p>
        </w:tc>
        <w:tc>
          <w:tcPr>
            <w:tcW w:w="752"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4</w:t>
            </w:r>
          </w:p>
        </w:tc>
      </w:tr>
      <w:tr w:rsidR="00601770" w:rsidRPr="00D563A5" w:rsidTr="00D60BD3">
        <w:trPr>
          <w:cantSplit/>
          <w:trHeight w:val="397"/>
        </w:trPr>
        <w:tc>
          <w:tcPr>
            <w:tcW w:w="600" w:type="pct"/>
            <w:vMerge/>
            <w:shd w:val="clear" w:color="auto" w:fill="auto"/>
            <w:vAlign w:val="center"/>
          </w:tcPr>
          <w:p w:rsidR="00D60BD3" w:rsidRPr="00D563A5" w:rsidRDefault="00D60BD3" w:rsidP="00D60BD3">
            <w:pPr>
              <w:spacing w:line="460" w:lineRule="exact"/>
              <w:ind w:firstLine="360"/>
              <w:rPr>
                <w:color w:val="000000" w:themeColor="text1"/>
                <w:szCs w:val="21"/>
              </w:rPr>
            </w:pPr>
          </w:p>
        </w:tc>
        <w:tc>
          <w:tcPr>
            <w:tcW w:w="2897" w:type="pct"/>
            <w:gridSpan w:val="2"/>
            <w:shd w:val="clear" w:color="auto" w:fill="auto"/>
            <w:vAlign w:val="center"/>
          </w:tcPr>
          <w:p w:rsidR="00D60BD3" w:rsidRPr="00D563A5" w:rsidRDefault="00D60BD3" w:rsidP="00D60BD3">
            <w:pPr>
              <w:spacing w:line="460" w:lineRule="exact"/>
              <w:rPr>
                <w:color w:val="000000" w:themeColor="text1"/>
                <w:szCs w:val="21"/>
              </w:rPr>
            </w:pPr>
            <w:r w:rsidRPr="00D563A5">
              <w:rPr>
                <w:color w:val="000000" w:themeColor="text1"/>
                <w:szCs w:val="21"/>
              </w:rPr>
              <w:t>考</w:t>
            </w:r>
            <w:r w:rsidRPr="00D563A5">
              <w:rPr>
                <w:color w:val="000000" w:themeColor="text1"/>
                <w:szCs w:val="21"/>
              </w:rPr>
              <w:t xml:space="preserve"> </w:t>
            </w:r>
            <w:r w:rsidRPr="00D563A5">
              <w:rPr>
                <w:color w:val="000000" w:themeColor="text1"/>
                <w:szCs w:val="21"/>
              </w:rPr>
              <w:t>试</w:t>
            </w:r>
          </w:p>
        </w:tc>
        <w:tc>
          <w:tcPr>
            <w:tcW w:w="751"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2</w:t>
            </w:r>
          </w:p>
        </w:tc>
        <w:tc>
          <w:tcPr>
            <w:tcW w:w="752"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2</w:t>
            </w:r>
          </w:p>
        </w:tc>
      </w:tr>
      <w:tr w:rsidR="00601770" w:rsidRPr="00D563A5" w:rsidTr="00D60BD3">
        <w:trPr>
          <w:cantSplit/>
          <w:trHeight w:val="372"/>
        </w:trPr>
        <w:tc>
          <w:tcPr>
            <w:tcW w:w="600" w:type="pct"/>
            <w:vMerge/>
            <w:shd w:val="clear" w:color="auto" w:fill="auto"/>
            <w:vAlign w:val="center"/>
          </w:tcPr>
          <w:p w:rsidR="00D60BD3" w:rsidRPr="00D563A5" w:rsidRDefault="00D60BD3" w:rsidP="00D60BD3">
            <w:pPr>
              <w:spacing w:line="460" w:lineRule="exact"/>
              <w:ind w:firstLine="360"/>
              <w:rPr>
                <w:color w:val="000000" w:themeColor="text1"/>
                <w:szCs w:val="21"/>
              </w:rPr>
            </w:pPr>
          </w:p>
        </w:tc>
        <w:tc>
          <w:tcPr>
            <w:tcW w:w="2897" w:type="pct"/>
            <w:gridSpan w:val="2"/>
            <w:shd w:val="clear" w:color="auto" w:fill="auto"/>
            <w:vAlign w:val="center"/>
          </w:tcPr>
          <w:p w:rsidR="00D60BD3" w:rsidRPr="00D563A5" w:rsidRDefault="00D60BD3" w:rsidP="00D60BD3">
            <w:pPr>
              <w:spacing w:line="460" w:lineRule="exact"/>
              <w:rPr>
                <w:color w:val="000000" w:themeColor="text1"/>
                <w:szCs w:val="21"/>
              </w:rPr>
            </w:pPr>
            <w:r w:rsidRPr="00D563A5">
              <w:rPr>
                <w:color w:val="000000" w:themeColor="text1"/>
                <w:szCs w:val="21"/>
              </w:rPr>
              <w:t>合</w:t>
            </w:r>
            <w:r w:rsidRPr="00D563A5">
              <w:rPr>
                <w:color w:val="000000" w:themeColor="text1"/>
                <w:szCs w:val="21"/>
              </w:rPr>
              <w:t xml:space="preserve"> </w:t>
            </w:r>
            <w:r w:rsidRPr="00D563A5">
              <w:rPr>
                <w:color w:val="000000" w:themeColor="text1"/>
                <w:szCs w:val="21"/>
              </w:rPr>
              <w:t>计</w:t>
            </w:r>
          </w:p>
        </w:tc>
        <w:tc>
          <w:tcPr>
            <w:tcW w:w="751"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72</w:t>
            </w:r>
          </w:p>
        </w:tc>
        <w:tc>
          <w:tcPr>
            <w:tcW w:w="752"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72</w:t>
            </w:r>
          </w:p>
        </w:tc>
      </w:tr>
      <w:tr w:rsidR="00601770" w:rsidRPr="00D563A5" w:rsidTr="00D60BD3">
        <w:trPr>
          <w:cantSplit/>
          <w:trHeight w:val="2204"/>
        </w:trPr>
        <w:tc>
          <w:tcPr>
            <w:tcW w:w="600" w:type="pct"/>
            <w:vMerge w:val="restar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再培训</w:t>
            </w:r>
          </w:p>
        </w:tc>
        <w:tc>
          <w:tcPr>
            <w:tcW w:w="2897" w:type="pct"/>
            <w:gridSpan w:val="2"/>
            <w:shd w:val="clear" w:color="auto" w:fill="auto"/>
            <w:vAlign w:val="center"/>
          </w:tcPr>
          <w:p w:rsidR="00D60BD3" w:rsidRPr="00D563A5" w:rsidRDefault="00D60BD3" w:rsidP="00D60BD3">
            <w:pPr>
              <w:snapToGrid w:val="0"/>
              <w:spacing w:line="460" w:lineRule="exact"/>
              <w:rPr>
                <w:color w:val="000000" w:themeColor="text1"/>
                <w:szCs w:val="21"/>
              </w:rPr>
            </w:pPr>
            <w:r w:rsidRPr="00D563A5">
              <w:rPr>
                <w:color w:val="000000" w:themeColor="text1"/>
                <w:szCs w:val="21"/>
              </w:rPr>
              <w:t>1.</w:t>
            </w:r>
            <w:r w:rsidRPr="00D563A5">
              <w:rPr>
                <w:color w:val="000000" w:themeColor="text1"/>
                <w:szCs w:val="21"/>
              </w:rPr>
              <w:t>有关安全生产的新的法律、法规、国家标准、行业标准、规程和规范；</w:t>
            </w:r>
          </w:p>
          <w:p w:rsidR="00D60BD3" w:rsidRPr="00D563A5" w:rsidRDefault="00D60BD3" w:rsidP="00D60BD3">
            <w:pPr>
              <w:snapToGrid w:val="0"/>
              <w:spacing w:line="460" w:lineRule="exact"/>
              <w:rPr>
                <w:color w:val="000000" w:themeColor="text1"/>
                <w:szCs w:val="21"/>
              </w:rPr>
            </w:pPr>
            <w:r w:rsidRPr="00D563A5">
              <w:rPr>
                <w:color w:val="000000" w:themeColor="text1"/>
                <w:szCs w:val="21"/>
              </w:rPr>
              <w:t>2.</w:t>
            </w:r>
            <w:r w:rsidRPr="00D563A5">
              <w:rPr>
                <w:color w:val="000000" w:themeColor="text1"/>
                <w:szCs w:val="21"/>
              </w:rPr>
              <w:t>有关地质、采矿（露天开采或地下开采）工艺、设备、设施基本安全技术；</w:t>
            </w:r>
          </w:p>
          <w:p w:rsidR="00D60BD3" w:rsidRPr="00D563A5" w:rsidRDefault="00D60BD3" w:rsidP="00D60BD3">
            <w:pPr>
              <w:snapToGrid w:val="0"/>
              <w:spacing w:line="460" w:lineRule="exact"/>
              <w:rPr>
                <w:color w:val="000000" w:themeColor="text1"/>
                <w:szCs w:val="21"/>
              </w:rPr>
            </w:pPr>
            <w:r w:rsidRPr="00D563A5">
              <w:rPr>
                <w:color w:val="000000" w:themeColor="text1"/>
                <w:szCs w:val="21"/>
              </w:rPr>
              <w:t>3.</w:t>
            </w:r>
            <w:r w:rsidRPr="00D563A5">
              <w:rPr>
                <w:color w:val="000000" w:themeColor="text1"/>
                <w:szCs w:val="21"/>
              </w:rPr>
              <w:t>矿山典型事故案例分析。</w:t>
            </w:r>
          </w:p>
        </w:tc>
        <w:tc>
          <w:tcPr>
            <w:tcW w:w="751"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18</w:t>
            </w:r>
          </w:p>
        </w:tc>
        <w:tc>
          <w:tcPr>
            <w:tcW w:w="752"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18</w:t>
            </w:r>
          </w:p>
        </w:tc>
      </w:tr>
      <w:tr w:rsidR="00601770" w:rsidRPr="00D563A5" w:rsidTr="00D60BD3">
        <w:trPr>
          <w:cantSplit/>
          <w:trHeight w:val="398"/>
        </w:trPr>
        <w:tc>
          <w:tcPr>
            <w:tcW w:w="600" w:type="pct"/>
            <w:vMerge/>
            <w:shd w:val="clear" w:color="auto" w:fill="auto"/>
            <w:vAlign w:val="center"/>
          </w:tcPr>
          <w:p w:rsidR="00D60BD3" w:rsidRPr="00D563A5" w:rsidRDefault="00D60BD3" w:rsidP="00D60BD3">
            <w:pPr>
              <w:spacing w:line="460" w:lineRule="exact"/>
              <w:jc w:val="center"/>
              <w:rPr>
                <w:color w:val="000000" w:themeColor="text1"/>
                <w:szCs w:val="21"/>
              </w:rPr>
            </w:pPr>
          </w:p>
        </w:tc>
        <w:tc>
          <w:tcPr>
            <w:tcW w:w="2897" w:type="pct"/>
            <w:gridSpan w:val="2"/>
            <w:shd w:val="clear" w:color="auto" w:fill="auto"/>
            <w:vAlign w:val="center"/>
          </w:tcPr>
          <w:p w:rsidR="00D60BD3" w:rsidRPr="00D563A5" w:rsidRDefault="00D60BD3" w:rsidP="00D60BD3">
            <w:pPr>
              <w:snapToGrid w:val="0"/>
              <w:spacing w:line="460" w:lineRule="exact"/>
              <w:rPr>
                <w:color w:val="000000" w:themeColor="text1"/>
                <w:szCs w:val="21"/>
              </w:rPr>
            </w:pPr>
            <w:r w:rsidRPr="00D563A5">
              <w:rPr>
                <w:color w:val="000000" w:themeColor="text1"/>
                <w:szCs w:val="21"/>
              </w:rPr>
              <w:t>考试</w:t>
            </w:r>
          </w:p>
        </w:tc>
        <w:tc>
          <w:tcPr>
            <w:tcW w:w="751"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2</w:t>
            </w:r>
          </w:p>
        </w:tc>
        <w:tc>
          <w:tcPr>
            <w:tcW w:w="752"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2</w:t>
            </w:r>
          </w:p>
        </w:tc>
      </w:tr>
      <w:tr w:rsidR="00601770" w:rsidRPr="00D563A5" w:rsidTr="00D60BD3">
        <w:trPr>
          <w:cantSplit/>
          <w:trHeight w:val="408"/>
        </w:trPr>
        <w:tc>
          <w:tcPr>
            <w:tcW w:w="600" w:type="pct"/>
            <w:vMerge/>
            <w:shd w:val="clear" w:color="auto" w:fill="auto"/>
            <w:vAlign w:val="center"/>
          </w:tcPr>
          <w:p w:rsidR="00D60BD3" w:rsidRPr="00D563A5" w:rsidRDefault="00D60BD3" w:rsidP="00D60BD3">
            <w:pPr>
              <w:spacing w:line="460" w:lineRule="exact"/>
              <w:jc w:val="center"/>
              <w:rPr>
                <w:color w:val="000000" w:themeColor="text1"/>
                <w:szCs w:val="21"/>
              </w:rPr>
            </w:pPr>
          </w:p>
        </w:tc>
        <w:tc>
          <w:tcPr>
            <w:tcW w:w="2897" w:type="pct"/>
            <w:gridSpan w:val="2"/>
            <w:shd w:val="clear" w:color="auto" w:fill="auto"/>
            <w:vAlign w:val="center"/>
          </w:tcPr>
          <w:p w:rsidR="00D60BD3" w:rsidRPr="00D563A5" w:rsidRDefault="00D60BD3" w:rsidP="00D60BD3">
            <w:pPr>
              <w:snapToGrid w:val="0"/>
              <w:spacing w:line="460" w:lineRule="exact"/>
              <w:rPr>
                <w:color w:val="000000" w:themeColor="text1"/>
                <w:szCs w:val="21"/>
              </w:rPr>
            </w:pPr>
            <w:r w:rsidRPr="00D563A5">
              <w:rPr>
                <w:color w:val="000000" w:themeColor="text1"/>
                <w:szCs w:val="21"/>
              </w:rPr>
              <w:t>合计</w:t>
            </w:r>
          </w:p>
        </w:tc>
        <w:tc>
          <w:tcPr>
            <w:tcW w:w="751"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20</w:t>
            </w:r>
          </w:p>
        </w:tc>
        <w:tc>
          <w:tcPr>
            <w:tcW w:w="752" w:type="pct"/>
            <w:shd w:val="clear" w:color="auto" w:fill="auto"/>
            <w:vAlign w:val="center"/>
          </w:tcPr>
          <w:p w:rsidR="00D60BD3" w:rsidRPr="00D563A5" w:rsidRDefault="00D60BD3" w:rsidP="00D60BD3">
            <w:pPr>
              <w:spacing w:line="460" w:lineRule="exact"/>
              <w:jc w:val="center"/>
              <w:rPr>
                <w:color w:val="000000" w:themeColor="text1"/>
                <w:szCs w:val="21"/>
              </w:rPr>
            </w:pPr>
            <w:r w:rsidRPr="00D563A5">
              <w:rPr>
                <w:color w:val="000000" w:themeColor="text1"/>
                <w:szCs w:val="21"/>
              </w:rPr>
              <w:t>20</w:t>
            </w:r>
          </w:p>
        </w:tc>
      </w:tr>
    </w:tbl>
    <w:p w:rsidR="00D60BD3" w:rsidRPr="00D563A5" w:rsidRDefault="00D60BD3" w:rsidP="00D60BD3">
      <w:pPr>
        <w:spacing w:line="360" w:lineRule="auto"/>
        <w:rPr>
          <w:color w:val="000000" w:themeColor="text1"/>
        </w:rPr>
      </w:pPr>
      <w:r w:rsidRPr="00D563A5">
        <w:rPr>
          <w:color w:val="000000" w:themeColor="text1"/>
        </w:rPr>
        <w:t xml:space="preserve"> </w:t>
      </w:r>
    </w:p>
    <w:p w:rsidR="00D60BD3" w:rsidRPr="00D563A5" w:rsidRDefault="00D60BD3" w:rsidP="00D60BD3">
      <w:pPr>
        <w:rPr>
          <w:color w:val="000000" w:themeColor="text1"/>
        </w:rPr>
      </w:pPr>
    </w:p>
    <w:p w:rsidR="00391EE2" w:rsidRPr="00D563A5" w:rsidRDefault="00391EE2" w:rsidP="009E6ADE">
      <w:pPr>
        <w:pStyle w:val="2"/>
        <w:spacing w:line="540" w:lineRule="exact"/>
        <w:ind w:firstLine="0"/>
        <w:rPr>
          <w:rFonts w:ascii="Times New Roman"/>
          <w:color w:val="000000" w:themeColor="text1"/>
        </w:rPr>
      </w:pPr>
    </w:p>
    <w:p w:rsidR="00530DE1" w:rsidRPr="00D563A5" w:rsidRDefault="00530DE1" w:rsidP="009E6ADE">
      <w:pPr>
        <w:pStyle w:val="2"/>
        <w:spacing w:line="540" w:lineRule="exact"/>
        <w:ind w:firstLine="0"/>
        <w:rPr>
          <w:rFonts w:ascii="Times New Roman"/>
          <w:color w:val="000000" w:themeColor="text1"/>
        </w:rPr>
      </w:pPr>
    </w:p>
    <w:p w:rsidR="00530DE1" w:rsidRPr="00D563A5" w:rsidRDefault="00530DE1" w:rsidP="009E6ADE">
      <w:pPr>
        <w:pStyle w:val="2"/>
        <w:spacing w:line="540" w:lineRule="exact"/>
        <w:ind w:firstLine="0"/>
        <w:rPr>
          <w:rFonts w:ascii="Times New Roman"/>
          <w:color w:val="000000" w:themeColor="text1"/>
        </w:rPr>
      </w:pPr>
    </w:p>
    <w:p w:rsidR="00530DE1" w:rsidRPr="00D563A5" w:rsidRDefault="00530DE1" w:rsidP="009E6ADE">
      <w:pPr>
        <w:pStyle w:val="2"/>
        <w:spacing w:line="540" w:lineRule="exact"/>
        <w:ind w:firstLine="0"/>
        <w:rPr>
          <w:rFonts w:ascii="Times New Roman"/>
          <w:color w:val="000000" w:themeColor="text1"/>
        </w:rPr>
      </w:pPr>
    </w:p>
    <w:p w:rsidR="00530DE1" w:rsidRPr="00D563A5" w:rsidRDefault="00530DE1" w:rsidP="009E6ADE">
      <w:pPr>
        <w:pStyle w:val="2"/>
        <w:spacing w:line="540" w:lineRule="exact"/>
        <w:ind w:firstLine="0"/>
        <w:rPr>
          <w:rFonts w:ascii="Times New Roman"/>
          <w:color w:val="000000" w:themeColor="text1"/>
        </w:rPr>
      </w:pPr>
    </w:p>
    <w:p w:rsidR="00530DE1" w:rsidRPr="00D563A5" w:rsidRDefault="00530DE1" w:rsidP="009E6ADE">
      <w:pPr>
        <w:pStyle w:val="2"/>
        <w:spacing w:line="540" w:lineRule="exact"/>
        <w:ind w:firstLine="0"/>
        <w:rPr>
          <w:rFonts w:ascii="Times New Roman"/>
          <w:color w:val="000000" w:themeColor="text1"/>
        </w:rPr>
      </w:pPr>
      <w:bookmarkStart w:id="2" w:name="_GoBack"/>
      <w:bookmarkEnd w:id="2"/>
    </w:p>
    <w:sectPr w:rsidR="00530DE1" w:rsidRPr="00D563A5">
      <w:footerReference w:type="default" r:id="rId8"/>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16" w:rsidRDefault="00400316" w:rsidP="009E6ADE">
      <w:r>
        <w:separator/>
      </w:r>
    </w:p>
  </w:endnote>
  <w:endnote w:type="continuationSeparator" w:id="0">
    <w:p w:rsidR="00400316" w:rsidRDefault="00400316" w:rsidP="009E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101655"/>
      <w:docPartObj>
        <w:docPartGallery w:val="Page Numbers (Bottom of Page)"/>
        <w:docPartUnique/>
      </w:docPartObj>
    </w:sdtPr>
    <w:sdtEndPr/>
    <w:sdtContent>
      <w:p w:rsidR="009E6ADE" w:rsidRDefault="009E6ADE">
        <w:pPr>
          <w:pStyle w:val="a5"/>
          <w:jc w:val="center"/>
        </w:pPr>
        <w:r>
          <w:fldChar w:fldCharType="begin"/>
        </w:r>
        <w:r>
          <w:instrText>PAGE   \* MERGEFORMAT</w:instrText>
        </w:r>
        <w:r>
          <w:fldChar w:fldCharType="separate"/>
        </w:r>
        <w:r w:rsidR="00C07841" w:rsidRPr="00C07841">
          <w:rPr>
            <w:noProof/>
            <w:lang w:val="zh-CN"/>
          </w:rPr>
          <w:t>6</w:t>
        </w:r>
        <w:r>
          <w:fldChar w:fldCharType="end"/>
        </w:r>
      </w:p>
    </w:sdtContent>
  </w:sdt>
  <w:p w:rsidR="009E6ADE" w:rsidRDefault="009E6A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16" w:rsidRDefault="00400316" w:rsidP="009E6ADE">
      <w:r>
        <w:separator/>
      </w:r>
    </w:p>
  </w:footnote>
  <w:footnote w:type="continuationSeparator" w:id="0">
    <w:p w:rsidR="00400316" w:rsidRDefault="00400316" w:rsidP="009E6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6C650"/>
    <w:multiLevelType w:val="singleLevel"/>
    <w:tmpl w:val="5E96C650"/>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DE"/>
    <w:rsid w:val="00000932"/>
    <w:rsid w:val="00004D6E"/>
    <w:rsid w:val="00005E8B"/>
    <w:rsid w:val="00012203"/>
    <w:rsid w:val="00012EEB"/>
    <w:rsid w:val="0001492A"/>
    <w:rsid w:val="00015444"/>
    <w:rsid w:val="00016E7E"/>
    <w:rsid w:val="000170D5"/>
    <w:rsid w:val="0002077B"/>
    <w:rsid w:val="00025E6B"/>
    <w:rsid w:val="0003136C"/>
    <w:rsid w:val="0003287B"/>
    <w:rsid w:val="00035272"/>
    <w:rsid w:val="00040F34"/>
    <w:rsid w:val="00040F46"/>
    <w:rsid w:val="00041075"/>
    <w:rsid w:val="00041EAE"/>
    <w:rsid w:val="00042AE4"/>
    <w:rsid w:val="000471A9"/>
    <w:rsid w:val="00050C07"/>
    <w:rsid w:val="00077CFB"/>
    <w:rsid w:val="0008291D"/>
    <w:rsid w:val="000850C3"/>
    <w:rsid w:val="00097B4B"/>
    <w:rsid w:val="000A109A"/>
    <w:rsid w:val="000A2495"/>
    <w:rsid w:val="000A6C7C"/>
    <w:rsid w:val="000B0179"/>
    <w:rsid w:val="000B0D70"/>
    <w:rsid w:val="000B6332"/>
    <w:rsid w:val="000B7BC9"/>
    <w:rsid w:val="000C01F4"/>
    <w:rsid w:val="000C0A45"/>
    <w:rsid w:val="000C21AD"/>
    <w:rsid w:val="000C31DC"/>
    <w:rsid w:val="000C52C8"/>
    <w:rsid w:val="000C542B"/>
    <w:rsid w:val="000C61AE"/>
    <w:rsid w:val="000D07EB"/>
    <w:rsid w:val="000D1221"/>
    <w:rsid w:val="000E0BBB"/>
    <w:rsid w:val="000E0FB6"/>
    <w:rsid w:val="000E3EDD"/>
    <w:rsid w:val="000E517A"/>
    <w:rsid w:val="000E67C1"/>
    <w:rsid w:val="000E7192"/>
    <w:rsid w:val="000F2FA0"/>
    <w:rsid w:val="000F6663"/>
    <w:rsid w:val="000F6DE3"/>
    <w:rsid w:val="00111093"/>
    <w:rsid w:val="0011537C"/>
    <w:rsid w:val="00121667"/>
    <w:rsid w:val="001230DA"/>
    <w:rsid w:val="0012402C"/>
    <w:rsid w:val="0013694C"/>
    <w:rsid w:val="0015208F"/>
    <w:rsid w:val="001527EB"/>
    <w:rsid w:val="001537EC"/>
    <w:rsid w:val="00153CC6"/>
    <w:rsid w:val="00155E53"/>
    <w:rsid w:val="00161A99"/>
    <w:rsid w:val="00162C5A"/>
    <w:rsid w:val="00165308"/>
    <w:rsid w:val="00166765"/>
    <w:rsid w:val="00166929"/>
    <w:rsid w:val="00171A5B"/>
    <w:rsid w:val="0017297D"/>
    <w:rsid w:val="00175CBF"/>
    <w:rsid w:val="00177860"/>
    <w:rsid w:val="00180285"/>
    <w:rsid w:val="00180405"/>
    <w:rsid w:val="00180897"/>
    <w:rsid w:val="001809A7"/>
    <w:rsid w:val="00181403"/>
    <w:rsid w:val="0018193B"/>
    <w:rsid w:val="00182763"/>
    <w:rsid w:val="001827B7"/>
    <w:rsid w:val="001840C2"/>
    <w:rsid w:val="001854A6"/>
    <w:rsid w:val="001963D0"/>
    <w:rsid w:val="00197AC2"/>
    <w:rsid w:val="001A3BE7"/>
    <w:rsid w:val="001A6B06"/>
    <w:rsid w:val="001A6D06"/>
    <w:rsid w:val="001A6D44"/>
    <w:rsid w:val="001B0042"/>
    <w:rsid w:val="001B209D"/>
    <w:rsid w:val="001B2E19"/>
    <w:rsid w:val="001B3F3C"/>
    <w:rsid w:val="001B49CB"/>
    <w:rsid w:val="001B59C5"/>
    <w:rsid w:val="001C4579"/>
    <w:rsid w:val="001C65BB"/>
    <w:rsid w:val="001D094D"/>
    <w:rsid w:val="001D5DA3"/>
    <w:rsid w:val="001D62A5"/>
    <w:rsid w:val="001D70A3"/>
    <w:rsid w:val="001E40A0"/>
    <w:rsid w:val="001E41C2"/>
    <w:rsid w:val="001E5137"/>
    <w:rsid w:val="001E75E7"/>
    <w:rsid w:val="001F0467"/>
    <w:rsid w:val="001F3B9B"/>
    <w:rsid w:val="001F4A85"/>
    <w:rsid w:val="001F5764"/>
    <w:rsid w:val="001F6EB8"/>
    <w:rsid w:val="001F7F74"/>
    <w:rsid w:val="00200FB1"/>
    <w:rsid w:val="0020328B"/>
    <w:rsid w:val="00203B25"/>
    <w:rsid w:val="00204420"/>
    <w:rsid w:val="002059BA"/>
    <w:rsid w:val="00206E90"/>
    <w:rsid w:val="00207F94"/>
    <w:rsid w:val="00210EA6"/>
    <w:rsid w:val="0021132B"/>
    <w:rsid w:val="0021180C"/>
    <w:rsid w:val="00212EF5"/>
    <w:rsid w:val="0021357F"/>
    <w:rsid w:val="00213C99"/>
    <w:rsid w:val="002168B6"/>
    <w:rsid w:val="00221641"/>
    <w:rsid w:val="0022376F"/>
    <w:rsid w:val="002273B0"/>
    <w:rsid w:val="002319CD"/>
    <w:rsid w:val="0023577B"/>
    <w:rsid w:val="002364D9"/>
    <w:rsid w:val="002369BB"/>
    <w:rsid w:val="00236B34"/>
    <w:rsid w:val="002370BF"/>
    <w:rsid w:val="00240F21"/>
    <w:rsid w:val="002410D6"/>
    <w:rsid w:val="00243122"/>
    <w:rsid w:val="00246E57"/>
    <w:rsid w:val="002509C9"/>
    <w:rsid w:val="002510AC"/>
    <w:rsid w:val="00253F0E"/>
    <w:rsid w:val="002579F1"/>
    <w:rsid w:val="00260190"/>
    <w:rsid w:val="00262457"/>
    <w:rsid w:val="00262DC3"/>
    <w:rsid w:val="00266715"/>
    <w:rsid w:val="00266DC5"/>
    <w:rsid w:val="002702F0"/>
    <w:rsid w:val="00270AEB"/>
    <w:rsid w:val="002738A4"/>
    <w:rsid w:val="002770A4"/>
    <w:rsid w:val="002774CD"/>
    <w:rsid w:val="002924A7"/>
    <w:rsid w:val="0029309F"/>
    <w:rsid w:val="00293226"/>
    <w:rsid w:val="002A2F4E"/>
    <w:rsid w:val="002A38D9"/>
    <w:rsid w:val="002A3F3A"/>
    <w:rsid w:val="002C7C9F"/>
    <w:rsid w:val="002D178A"/>
    <w:rsid w:val="002D3138"/>
    <w:rsid w:val="002D5E7D"/>
    <w:rsid w:val="002E4A8A"/>
    <w:rsid w:val="002E6084"/>
    <w:rsid w:val="002F0537"/>
    <w:rsid w:val="002F61AC"/>
    <w:rsid w:val="00302E5E"/>
    <w:rsid w:val="00304496"/>
    <w:rsid w:val="0030551C"/>
    <w:rsid w:val="00306836"/>
    <w:rsid w:val="003150B0"/>
    <w:rsid w:val="003169A7"/>
    <w:rsid w:val="00316D80"/>
    <w:rsid w:val="003226BC"/>
    <w:rsid w:val="00322796"/>
    <w:rsid w:val="0032296F"/>
    <w:rsid w:val="00325AB0"/>
    <w:rsid w:val="00326775"/>
    <w:rsid w:val="00326E1A"/>
    <w:rsid w:val="00331F1A"/>
    <w:rsid w:val="00334C62"/>
    <w:rsid w:val="00340A9D"/>
    <w:rsid w:val="00343CB3"/>
    <w:rsid w:val="00352642"/>
    <w:rsid w:val="003533FC"/>
    <w:rsid w:val="0035782D"/>
    <w:rsid w:val="00360587"/>
    <w:rsid w:val="003615AE"/>
    <w:rsid w:val="00362EC3"/>
    <w:rsid w:val="003653F3"/>
    <w:rsid w:val="003729C9"/>
    <w:rsid w:val="00375AF9"/>
    <w:rsid w:val="003761AA"/>
    <w:rsid w:val="003766C0"/>
    <w:rsid w:val="00384725"/>
    <w:rsid w:val="00385763"/>
    <w:rsid w:val="00386DF8"/>
    <w:rsid w:val="00391EE2"/>
    <w:rsid w:val="00396F39"/>
    <w:rsid w:val="003A25E0"/>
    <w:rsid w:val="003A5ACF"/>
    <w:rsid w:val="003B26EF"/>
    <w:rsid w:val="003B2FBC"/>
    <w:rsid w:val="003B5B05"/>
    <w:rsid w:val="003C0879"/>
    <w:rsid w:val="003C1B6B"/>
    <w:rsid w:val="003C4E13"/>
    <w:rsid w:val="003C4ED2"/>
    <w:rsid w:val="003C51A7"/>
    <w:rsid w:val="003D01A3"/>
    <w:rsid w:val="003D319C"/>
    <w:rsid w:val="003D32D1"/>
    <w:rsid w:val="003D43E2"/>
    <w:rsid w:val="003E0FFB"/>
    <w:rsid w:val="003E6E0A"/>
    <w:rsid w:val="003F7B1D"/>
    <w:rsid w:val="00400316"/>
    <w:rsid w:val="00404D59"/>
    <w:rsid w:val="0040664F"/>
    <w:rsid w:val="0040722B"/>
    <w:rsid w:val="004078C9"/>
    <w:rsid w:val="00415585"/>
    <w:rsid w:val="00420907"/>
    <w:rsid w:val="004223AA"/>
    <w:rsid w:val="004227AA"/>
    <w:rsid w:val="004229C4"/>
    <w:rsid w:val="00425436"/>
    <w:rsid w:val="00426A11"/>
    <w:rsid w:val="004363AD"/>
    <w:rsid w:val="00437E42"/>
    <w:rsid w:val="0044215B"/>
    <w:rsid w:val="0044253B"/>
    <w:rsid w:val="00443668"/>
    <w:rsid w:val="00444C74"/>
    <w:rsid w:val="0045128D"/>
    <w:rsid w:val="00461300"/>
    <w:rsid w:val="00463F43"/>
    <w:rsid w:val="00470172"/>
    <w:rsid w:val="0047287B"/>
    <w:rsid w:val="00474DCC"/>
    <w:rsid w:val="00483A49"/>
    <w:rsid w:val="00483F71"/>
    <w:rsid w:val="00484400"/>
    <w:rsid w:val="0049120F"/>
    <w:rsid w:val="00491B98"/>
    <w:rsid w:val="00497429"/>
    <w:rsid w:val="004A40F5"/>
    <w:rsid w:val="004B0B46"/>
    <w:rsid w:val="004B152D"/>
    <w:rsid w:val="004B3101"/>
    <w:rsid w:val="004B6915"/>
    <w:rsid w:val="004B7366"/>
    <w:rsid w:val="004C26A2"/>
    <w:rsid w:val="004C38D1"/>
    <w:rsid w:val="004D46C0"/>
    <w:rsid w:val="004D5347"/>
    <w:rsid w:val="004D545B"/>
    <w:rsid w:val="004D6B37"/>
    <w:rsid w:val="004D7E3E"/>
    <w:rsid w:val="004E0C6E"/>
    <w:rsid w:val="004E15CA"/>
    <w:rsid w:val="004E6B58"/>
    <w:rsid w:val="004F322D"/>
    <w:rsid w:val="004F378A"/>
    <w:rsid w:val="00504152"/>
    <w:rsid w:val="00506676"/>
    <w:rsid w:val="00506DC9"/>
    <w:rsid w:val="00513E00"/>
    <w:rsid w:val="005144B8"/>
    <w:rsid w:val="00526AB4"/>
    <w:rsid w:val="00527021"/>
    <w:rsid w:val="00527B36"/>
    <w:rsid w:val="0053010B"/>
    <w:rsid w:val="00530DE1"/>
    <w:rsid w:val="00533869"/>
    <w:rsid w:val="00533ADA"/>
    <w:rsid w:val="005408FA"/>
    <w:rsid w:val="005465C8"/>
    <w:rsid w:val="00547A51"/>
    <w:rsid w:val="00552180"/>
    <w:rsid w:val="00552926"/>
    <w:rsid w:val="005534CE"/>
    <w:rsid w:val="005550EA"/>
    <w:rsid w:val="00555F0F"/>
    <w:rsid w:val="0055691D"/>
    <w:rsid w:val="00560FB4"/>
    <w:rsid w:val="0056125D"/>
    <w:rsid w:val="00561689"/>
    <w:rsid w:val="00561904"/>
    <w:rsid w:val="0056234F"/>
    <w:rsid w:val="00567E9B"/>
    <w:rsid w:val="0057164D"/>
    <w:rsid w:val="00572C9F"/>
    <w:rsid w:val="00572FD5"/>
    <w:rsid w:val="00576177"/>
    <w:rsid w:val="0057794E"/>
    <w:rsid w:val="0058160E"/>
    <w:rsid w:val="00581982"/>
    <w:rsid w:val="00584CEA"/>
    <w:rsid w:val="0059668E"/>
    <w:rsid w:val="00596AC5"/>
    <w:rsid w:val="005A4A37"/>
    <w:rsid w:val="005B274B"/>
    <w:rsid w:val="005B2DDA"/>
    <w:rsid w:val="005C0D93"/>
    <w:rsid w:val="005C3B89"/>
    <w:rsid w:val="005C688C"/>
    <w:rsid w:val="005D1D33"/>
    <w:rsid w:val="005D229C"/>
    <w:rsid w:val="005D2AAA"/>
    <w:rsid w:val="005D2AF8"/>
    <w:rsid w:val="005D4594"/>
    <w:rsid w:val="005E038A"/>
    <w:rsid w:val="005E2CA2"/>
    <w:rsid w:val="005E3EE0"/>
    <w:rsid w:val="005E40EB"/>
    <w:rsid w:val="005F2411"/>
    <w:rsid w:val="005F2BA8"/>
    <w:rsid w:val="005F2C8B"/>
    <w:rsid w:val="005F3605"/>
    <w:rsid w:val="005F5A8F"/>
    <w:rsid w:val="005F6447"/>
    <w:rsid w:val="00601770"/>
    <w:rsid w:val="00603561"/>
    <w:rsid w:val="00605557"/>
    <w:rsid w:val="00605CE6"/>
    <w:rsid w:val="0060641B"/>
    <w:rsid w:val="006105D7"/>
    <w:rsid w:val="0061113E"/>
    <w:rsid w:val="00613711"/>
    <w:rsid w:val="0061409E"/>
    <w:rsid w:val="0062111C"/>
    <w:rsid w:val="006229FA"/>
    <w:rsid w:val="006239BE"/>
    <w:rsid w:val="00625291"/>
    <w:rsid w:val="00625484"/>
    <w:rsid w:val="00632144"/>
    <w:rsid w:val="00640530"/>
    <w:rsid w:val="00651D64"/>
    <w:rsid w:val="00651E53"/>
    <w:rsid w:val="006530B6"/>
    <w:rsid w:val="00653AAE"/>
    <w:rsid w:val="00653DE9"/>
    <w:rsid w:val="00661A5F"/>
    <w:rsid w:val="006663DC"/>
    <w:rsid w:val="006674F8"/>
    <w:rsid w:val="006729A6"/>
    <w:rsid w:val="00673C61"/>
    <w:rsid w:val="00673D1D"/>
    <w:rsid w:val="00673D2C"/>
    <w:rsid w:val="00677085"/>
    <w:rsid w:val="006771D2"/>
    <w:rsid w:val="00681445"/>
    <w:rsid w:val="00681E80"/>
    <w:rsid w:val="00682A69"/>
    <w:rsid w:val="00687A1C"/>
    <w:rsid w:val="0069264F"/>
    <w:rsid w:val="00697FA1"/>
    <w:rsid w:val="006A23D8"/>
    <w:rsid w:val="006B1884"/>
    <w:rsid w:val="006B6CF3"/>
    <w:rsid w:val="006B6E8D"/>
    <w:rsid w:val="006B72DE"/>
    <w:rsid w:val="006B7CFA"/>
    <w:rsid w:val="006D72BE"/>
    <w:rsid w:val="006D7C06"/>
    <w:rsid w:val="006E0221"/>
    <w:rsid w:val="006E2EA5"/>
    <w:rsid w:val="006E4D77"/>
    <w:rsid w:val="006E7055"/>
    <w:rsid w:val="006F1B08"/>
    <w:rsid w:val="006F1F0C"/>
    <w:rsid w:val="006F2529"/>
    <w:rsid w:val="007013B6"/>
    <w:rsid w:val="00701C3A"/>
    <w:rsid w:val="0070264C"/>
    <w:rsid w:val="00705117"/>
    <w:rsid w:val="00706552"/>
    <w:rsid w:val="007200FD"/>
    <w:rsid w:val="007260D6"/>
    <w:rsid w:val="00734CBF"/>
    <w:rsid w:val="0075649C"/>
    <w:rsid w:val="0076087A"/>
    <w:rsid w:val="00761542"/>
    <w:rsid w:val="0076272F"/>
    <w:rsid w:val="0076694E"/>
    <w:rsid w:val="00770906"/>
    <w:rsid w:val="00775F3F"/>
    <w:rsid w:val="007809B7"/>
    <w:rsid w:val="007815FE"/>
    <w:rsid w:val="00781B31"/>
    <w:rsid w:val="00786CB4"/>
    <w:rsid w:val="007916E3"/>
    <w:rsid w:val="0079500B"/>
    <w:rsid w:val="007A0FE7"/>
    <w:rsid w:val="007B1127"/>
    <w:rsid w:val="007B6B71"/>
    <w:rsid w:val="007B72C5"/>
    <w:rsid w:val="007B755F"/>
    <w:rsid w:val="007C4713"/>
    <w:rsid w:val="007D1B35"/>
    <w:rsid w:val="007D758E"/>
    <w:rsid w:val="007E10AA"/>
    <w:rsid w:val="007E2606"/>
    <w:rsid w:val="007E272E"/>
    <w:rsid w:val="007E44EF"/>
    <w:rsid w:val="007E634D"/>
    <w:rsid w:val="007E6582"/>
    <w:rsid w:val="007E6D14"/>
    <w:rsid w:val="007E7413"/>
    <w:rsid w:val="007E76C0"/>
    <w:rsid w:val="007F2ACC"/>
    <w:rsid w:val="007F38DC"/>
    <w:rsid w:val="007F7601"/>
    <w:rsid w:val="00804AFE"/>
    <w:rsid w:val="00804CC4"/>
    <w:rsid w:val="00807715"/>
    <w:rsid w:val="00813A1D"/>
    <w:rsid w:val="00817BAD"/>
    <w:rsid w:val="00821282"/>
    <w:rsid w:val="008356A8"/>
    <w:rsid w:val="0084150B"/>
    <w:rsid w:val="008423EA"/>
    <w:rsid w:val="00846834"/>
    <w:rsid w:val="00847CAE"/>
    <w:rsid w:val="0085529B"/>
    <w:rsid w:val="00861BA3"/>
    <w:rsid w:val="0086514A"/>
    <w:rsid w:val="008662EF"/>
    <w:rsid w:val="00867A98"/>
    <w:rsid w:val="00873FCD"/>
    <w:rsid w:val="008750A7"/>
    <w:rsid w:val="008760F2"/>
    <w:rsid w:val="00876F2B"/>
    <w:rsid w:val="00877445"/>
    <w:rsid w:val="00877C81"/>
    <w:rsid w:val="008823D2"/>
    <w:rsid w:val="00882D52"/>
    <w:rsid w:val="00886583"/>
    <w:rsid w:val="00892397"/>
    <w:rsid w:val="00895696"/>
    <w:rsid w:val="008A4286"/>
    <w:rsid w:val="008A534C"/>
    <w:rsid w:val="008A5391"/>
    <w:rsid w:val="008B0176"/>
    <w:rsid w:val="008B3399"/>
    <w:rsid w:val="008B52E8"/>
    <w:rsid w:val="008B60B1"/>
    <w:rsid w:val="008B7C72"/>
    <w:rsid w:val="008C181A"/>
    <w:rsid w:val="008D410F"/>
    <w:rsid w:val="008E2748"/>
    <w:rsid w:val="008E6AC9"/>
    <w:rsid w:val="008E6EF8"/>
    <w:rsid w:val="008E793B"/>
    <w:rsid w:val="008F10A1"/>
    <w:rsid w:val="008F2E8C"/>
    <w:rsid w:val="00912685"/>
    <w:rsid w:val="00913BDC"/>
    <w:rsid w:val="00922E8C"/>
    <w:rsid w:val="00927D91"/>
    <w:rsid w:val="00930EFD"/>
    <w:rsid w:val="00931B38"/>
    <w:rsid w:val="00935925"/>
    <w:rsid w:val="00936BAC"/>
    <w:rsid w:val="009518EE"/>
    <w:rsid w:val="00955DA0"/>
    <w:rsid w:val="00955DE9"/>
    <w:rsid w:val="00956F4B"/>
    <w:rsid w:val="00957A56"/>
    <w:rsid w:val="00962B2E"/>
    <w:rsid w:val="00966635"/>
    <w:rsid w:val="009668C5"/>
    <w:rsid w:val="009728CE"/>
    <w:rsid w:val="009740DC"/>
    <w:rsid w:val="00974A5F"/>
    <w:rsid w:val="00980BF5"/>
    <w:rsid w:val="00982104"/>
    <w:rsid w:val="00982FB5"/>
    <w:rsid w:val="00986469"/>
    <w:rsid w:val="00990B46"/>
    <w:rsid w:val="009A1E32"/>
    <w:rsid w:val="009A4CA4"/>
    <w:rsid w:val="009B01B5"/>
    <w:rsid w:val="009B53D0"/>
    <w:rsid w:val="009B6F41"/>
    <w:rsid w:val="009C023B"/>
    <w:rsid w:val="009C31BA"/>
    <w:rsid w:val="009C4D12"/>
    <w:rsid w:val="009C4F88"/>
    <w:rsid w:val="009C5C04"/>
    <w:rsid w:val="009D0BB0"/>
    <w:rsid w:val="009D130A"/>
    <w:rsid w:val="009D43DC"/>
    <w:rsid w:val="009D52FC"/>
    <w:rsid w:val="009D56F0"/>
    <w:rsid w:val="009E17F4"/>
    <w:rsid w:val="009E561A"/>
    <w:rsid w:val="009E6ADE"/>
    <w:rsid w:val="009F06C9"/>
    <w:rsid w:val="009F5689"/>
    <w:rsid w:val="00A03D9C"/>
    <w:rsid w:val="00A2037A"/>
    <w:rsid w:val="00A21999"/>
    <w:rsid w:val="00A21ACF"/>
    <w:rsid w:val="00A21EF8"/>
    <w:rsid w:val="00A22471"/>
    <w:rsid w:val="00A3128B"/>
    <w:rsid w:val="00A32B3C"/>
    <w:rsid w:val="00A34CE2"/>
    <w:rsid w:val="00A36145"/>
    <w:rsid w:val="00A36881"/>
    <w:rsid w:val="00A372BF"/>
    <w:rsid w:val="00A41C8B"/>
    <w:rsid w:val="00A52F3B"/>
    <w:rsid w:val="00A54352"/>
    <w:rsid w:val="00A548C0"/>
    <w:rsid w:val="00A60C62"/>
    <w:rsid w:val="00A60F81"/>
    <w:rsid w:val="00A61787"/>
    <w:rsid w:val="00A64E42"/>
    <w:rsid w:val="00A67CC4"/>
    <w:rsid w:val="00A7462B"/>
    <w:rsid w:val="00A74738"/>
    <w:rsid w:val="00A74D6C"/>
    <w:rsid w:val="00A81536"/>
    <w:rsid w:val="00A823BC"/>
    <w:rsid w:val="00A8290A"/>
    <w:rsid w:val="00A844C9"/>
    <w:rsid w:val="00A84BDE"/>
    <w:rsid w:val="00A85233"/>
    <w:rsid w:val="00A863BC"/>
    <w:rsid w:val="00A935C1"/>
    <w:rsid w:val="00AA2BED"/>
    <w:rsid w:val="00AA57F2"/>
    <w:rsid w:val="00AA72BE"/>
    <w:rsid w:val="00AB322F"/>
    <w:rsid w:val="00AC187D"/>
    <w:rsid w:val="00AC1D1C"/>
    <w:rsid w:val="00AC3218"/>
    <w:rsid w:val="00AC3EFD"/>
    <w:rsid w:val="00AD2A0D"/>
    <w:rsid w:val="00AE1266"/>
    <w:rsid w:val="00AE1E19"/>
    <w:rsid w:val="00AF40D5"/>
    <w:rsid w:val="00B03FC0"/>
    <w:rsid w:val="00B06329"/>
    <w:rsid w:val="00B15837"/>
    <w:rsid w:val="00B22565"/>
    <w:rsid w:val="00B22AAD"/>
    <w:rsid w:val="00B27001"/>
    <w:rsid w:val="00B27003"/>
    <w:rsid w:val="00B33334"/>
    <w:rsid w:val="00B359F3"/>
    <w:rsid w:val="00B43D19"/>
    <w:rsid w:val="00B46408"/>
    <w:rsid w:val="00B471D2"/>
    <w:rsid w:val="00B511A6"/>
    <w:rsid w:val="00B526C0"/>
    <w:rsid w:val="00B53768"/>
    <w:rsid w:val="00B56AD5"/>
    <w:rsid w:val="00B6122B"/>
    <w:rsid w:val="00B62D5E"/>
    <w:rsid w:val="00B6553D"/>
    <w:rsid w:val="00B7257F"/>
    <w:rsid w:val="00B75EC2"/>
    <w:rsid w:val="00B813CF"/>
    <w:rsid w:val="00B8298F"/>
    <w:rsid w:val="00B82D46"/>
    <w:rsid w:val="00B82DF4"/>
    <w:rsid w:val="00B86AD7"/>
    <w:rsid w:val="00B92F5B"/>
    <w:rsid w:val="00B94634"/>
    <w:rsid w:val="00BA0C6D"/>
    <w:rsid w:val="00BA165A"/>
    <w:rsid w:val="00BA1BE1"/>
    <w:rsid w:val="00BA2615"/>
    <w:rsid w:val="00BA3F0D"/>
    <w:rsid w:val="00BA531E"/>
    <w:rsid w:val="00BA5592"/>
    <w:rsid w:val="00BC1C45"/>
    <w:rsid w:val="00BC52B5"/>
    <w:rsid w:val="00BD12BB"/>
    <w:rsid w:val="00BD5C04"/>
    <w:rsid w:val="00BE0639"/>
    <w:rsid w:val="00BE203A"/>
    <w:rsid w:val="00BE24B8"/>
    <w:rsid w:val="00BE309C"/>
    <w:rsid w:val="00BE36F9"/>
    <w:rsid w:val="00BE59A5"/>
    <w:rsid w:val="00BF0B8C"/>
    <w:rsid w:val="00BF4E4C"/>
    <w:rsid w:val="00BF63B3"/>
    <w:rsid w:val="00BF7651"/>
    <w:rsid w:val="00C02266"/>
    <w:rsid w:val="00C05FC2"/>
    <w:rsid w:val="00C07841"/>
    <w:rsid w:val="00C111A7"/>
    <w:rsid w:val="00C1275C"/>
    <w:rsid w:val="00C13425"/>
    <w:rsid w:val="00C15F0C"/>
    <w:rsid w:val="00C27F4C"/>
    <w:rsid w:val="00C30326"/>
    <w:rsid w:val="00C30A98"/>
    <w:rsid w:val="00C3418B"/>
    <w:rsid w:val="00C416A7"/>
    <w:rsid w:val="00C5349B"/>
    <w:rsid w:val="00C53A3E"/>
    <w:rsid w:val="00C607C8"/>
    <w:rsid w:val="00C61806"/>
    <w:rsid w:val="00C61963"/>
    <w:rsid w:val="00C62BB8"/>
    <w:rsid w:val="00C70912"/>
    <w:rsid w:val="00C7168C"/>
    <w:rsid w:val="00C7672A"/>
    <w:rsid w:val="00C8177A"/>
    <w:rsid w:val="00C8313A"/>
    <w:rsid w:val="00C85D4B"/>
    <w:rsid w:val="00C90C05"/>
    <w:rsid w:val="00C961FA"/>
    <w:rsid w:val="00C962A0"/>
    <w:rsid w:val="00C962A9"/>
    <w:rsid w:val="00C971C4"/>
    <w:rsid w:val="00CA46BF"/>
    <w:rsid w:val="00CB03AA"/>
    <w:rsid w:val="00CB0CBD"/>
    <w:rsid w:val="00CC327A"/>
    <w:rsid w:val="00CC7A48"/>
    <w:rsid w:val="00CD4830"/>
    <w:rsid w:val="00CD6D69"/>
    <w:rsid w:val="00CD6FA7"/>
    <w:rsid w:val="00CF1EC5"/>
    <w:rsid w:val="00CF2E8B"/>
    <w:rsid w:val="00CF5A25"/>
    <w:rsid w:val="00CF7E46"/>
    <w:rsid w:val="00D01BA0"/>
    <w:rsid w:val="00D03D01"/>
    <w:rsid w:val="00D042D0"/>
    <w:rsid w:val="00D115D1"/>
    <w:rsid w:val="00D123AC"/>
    <w:rsid w:val="00D1419B"/>
    <w:rsid w:val="00D172F1"/>
    <w:rsid w:val="00D21537"/>
    <w:rsid w:val="00D2227A"/>
    <w:rsid w:val="00D22FD9"/>
    <w:rsid w:val="00D24FBF"/>
    <w:rsid w:val="00D33BC1"/>
    <w:rsid w:val="00D37929"/>
    <w:rsid w:val="00D40366"/>
    <w:rsid w:val="00D45AED"/>
    <w:rsid w:val="00D45F74"/>
    <w:rsid w:val="00D47CAA"/>
    <w:rsid w:val="00D52B64"/>
    <w:rsid w:val="00D563A5"/>
    <w:rsid w:val="00D60AB8"/>
    <w:rsid w:val="00D60BD3"/>
    <w:rsid w:val="00D62389"/>
    <w:rsid w:val="00D719B7"/>
    <w:rsid w:val="00D72F0D"/>
    <w:rsid w:val="00D73AE3"/>
    <w:rsid w:val="00D80442"/>
    <w:rsid w:val="00D807AC"/>
    <w:rsid w:val="00D83FA2"/>
    <w:rsid w:val="00D8419D"/>
    <w:rsid w:val="00D85280"/>
    <w:rsid w:val="00D865D8"/>
    <w:rsid w:val="00D94F96"/>
    <w:rsid w:val="00D963D8"/>
    <w:rsid w:val="00D97845"/>
    <w:rsid w:val="00DA04B7"/>
    <w:rsid w:val="00DA46B9"/>
    <w:rsid w:val="00DA735B"/>
    <w:rsid w:val="00DB0163"/>
    <w:rsid w:val="00DB0413"/>
    <w:rsid w:val="00DB089B"/>
    <w:rsid w:val="00DB2351"/>
    <w:rsid w:val="00DB33BB"/>
    <w:rsid w:val="00DC092A"/>
    <w:rsid w:val="00DC24F4"/>
    <w:rsid w:val="00DC5AB0"/>
    <w:rsid w:val="00DD498D"/>
    <w:rsid w:val="00DE1DD9"/>
    <w:rsid w:val="00DE6778"/>
    <w:rsid w:val="00DE6F33"/>
    <w:rsid w:val="00DF21A3"/>
    <w:rsid w:val="00DF2C86"/>
    <w:rsid w:val="00DF3604"/>
    <w:rsid w:val="00DF4015"/>
    <w:rsid w:val="00DF6D0C"/>
    <w:rsid w:val="00E07AE3"/>
    <w:rsid w:val="00E116D4"/>
    <w:rsid w:val="00E1502F"/>
    <w:rsid w:val="00E1605E"/>
    <w:rsid w:val="00E206F2"/>
    <w:rsid w:val="00E20B7A"/>
    <w:rsid w:val="00E322CE"/>
    <w:rsid w:val="00E37014"/>
    <w:rsid w:val="00E37CC3"/>
    <w:rsid w:val="00E4254D"/>
    <w:rsid w:val="00E42B55"/>
    <w:rsid w:val="00E44AAC"/>
    <w:rsid w:val="00E45339"/>
    <w:rsid w:val="00E46472"/>
    <w:rsid w:val="00E52F27"/>
    <w:rsid w:val="00E551AD"/>
    <w:rsid w:val="00E55864"/>
    <w:rsid w:val="00E61C65"/>
    <w:rsid w:val="00E66BA3"/>
    <w:rsid w:val="00E67802"/>
    <w:rsid w:val="00E80E1D"/>
    <w:rsid w:val="00E85B9C"/>
    <w:rsid w:val="00E870CB"/>
    <w:rsid w:val="00E87389"/>
    <w:rsid w:val="00EA50C1"/>
    <w:rsid w:val="00EB65BA"/>
    <w:rsid w:val="00EB6F2D"/>
    <w:rsid w:val="00EB7DBA"/>
    <w:rsid w:val="00EC0258"/>
    <w:rsid w:val="00EC0399"/>
    <w:rsid w:val="00EC1269"/>
    <w:rsid w:val="00EC6D0A"/>
    <w:rsid w:val="00ED193C"/>
    <w:rsid w:val="00ED3DA7"/>
    <w:rsid w:val="00ED3DB3"/>
    <w:rsid w:val="00ED5703"/>
    <w:rsid w:val="00EE1BCC"/>
    <w:rsid w:val="00EE32AF"/>
    <w:rsid w:val="00EE3AF2"/>
    <w:rsid w:val="00EE411E"/>
    <w:rsid w:val="00EE4EBE"/>
    <w:rsid w:val="00EE5518"/>
    <w:rsid w:val="00EE73C6"/>
    <w:rsid w:val="00EF319A"/>
    <w:rsid w:val="00EF35BC"/>
    <w:rsid w:val="00EF4915"/>
    <w:rsid w:val="00EF4CEA"/>
    <w:rsid w:val="00EF6221"/>
    <w:rsid w:val="00F115B5"/>
    <w:rsid w:val="00F130D9"/>
    <w:rsid w:val="00F1330B"/>
    <w:rsid w:val="00F14925"/>
    <w:rsid w:val="00F16A1A"/>
    <w:rsid w:val="00F21233"/>
    <w:rsid w:val="00F2190A"/>
    <w:rsid w:val="00F27E92"/>
    <w:rsid w:val="00F31B1E"/>
    <w:rsid w:val="00F32A7A"/>
    <w:rsid w:val="00F45844"/>
    <w:rsid w:val="00F46564"/>
    <w:rsid w:val="00F50889"/>
    <w:rsid w:val="00F50A24"/>
    <w:rsid w:val="00F524C2"/>
    <w:rsid w:val="00F54E48"/>
    <w:rsid w:val="00F57211"/>
    <w:rsid w:val="00F57FE5"/>
    <w:rsid w:val="00F672F3"/>
    <w:rsid w:val="00F73C2A"/>
    <w:rsid w:val="00F7419E"/>
    <w:rsid w:val="00F76AA3"/>
    <w:rsid w:val="00F84731"/>
    <w:rsid w:val="00F96C4F"/>
    <w:rsid w:val="00FA42B3"/>
    <w:rsid w:val="00FA491B"/>
    <w:rsid w:val="00FB014A"/>
    <w:rsid w:val="00FB104C"/>
    <w:rsid w:val="00FB2245"/>
    <w:rsid w:val="00FB403C"/>
    <w:rsid w:val="00FB45F7"/>
    <w:rsid w:val="00FB7388"/>
    <w:rsid w:val="00FB7DA8"/>
    <w:rsid w:val="00FC021C"/>
    <w:rsid w:val="00FC3919"/>
    <w:rsid w:val="00FC7CC9"/>
    <w:rsid w:val="00FD13F7"/>
    <w:rsid w:val="00FD5F46"/>
    <w:rsid w:val="00FD79E7"/>
    <w:rsid w:val="00FE1812"/>
    <w:rsid w:val="00FE1BFA"/>
    <w:rsid w:val="00FE5358"/>
    <w:rsid w:val="00FF3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9E6ADE"/>
    <w:pPr>
      <w:adjustRightInd w:val="0"/>
      <w:snapToGrid w:val="0"/>
      <w:spacing w:line="360" w:lineRule="auto"/>
      <w:ind w:firstLine="630"/>
    </w:pPr>
    <w:rPr>
      <w:rFonts w:ascii="仿宋_GB2312" w:eastAsia="仿宋_GB2312"/>
      <w:sz w:val="32"/>
    </w:rPr>
  </w:style>
  <w:style w:type="character" w:customStyle="1" w:styleId="2Char">
    <w:name w:val="正文文本缩进 2 Char"/>
    <w:basedOn w:val="a0"/>
    <w:link w:val="2"/>
    <w:rsid w:val="009E6ADE"/>
    <w:rPr>
      <w:rFonts w:ascii="仿宋_GB2312" w:eastAsia="仿宋_GB2312" w:hAnsi="Times New Roman" w:cs="Times New Roman"/>
      <w:sz w:val="32"/>
      <w:szCs w:val="24"/>
    </w:rPr>
  </w:style>
  <w:style w:type="paragraph" w:styleId="a3">
    <w:name w:val="envelope return"/>
    <w:basedOn w:val="a"/>
    <w:rsid w:val="009E6ADE"/>
    <w:pPr>
      <w:snapToGrid w:val="0"/>
    </w:pPr>
    <w:rPr>
      <w:rFonts w:ascii="Arial" w:eastAsia="仿宋_GB2312" w:hAnsi="Arial"/>
      <w:sz w:val="32"/>
      <w:szCs w:val="20"/>
    </w:rPr>
  </w:style>
  <w:style w:type="paragraph" w:styleId="a4">
    <w:name w:val="header"/>
    <w:basedOn w:val="a"/>
    <w:link w:val="Char"/>
    <w:uiPriority w:val="99"/>
    <w:unhideWhenUsed/>
    <w:rsid w:val="009E6A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E6ADE"/>
    <w:rPr>
      <w:rFonts w:ascii="Times New Roman" w:eastAsia="宋体" w:hAnsi="Times New Roman" w:cs="Times New Roman"/>
      <w:sz w:val="18"/>
      <w:szCs w:val="18"/>
    </w:rPr>
  </w:style>
  <w:style w:type="paragraph" w:styleId="a5">
    <w:name w:val="footer"/>
    <w:basedOn w:val="a"/>
    <w:link w:val="Char0"/>
    <w:uiPriority w:val="99"/>
    <w:unhideWhenUsed/>
    <w:rsid w:val="009E6ADE"/>
    <w:pPr>
      <w:tabs>
        <w:tab w:val="center" w:pos="4153"/>
        <w:tab w:val="right" w:pos="8306"/>
      </w:tabs>
      <w:snapToGrid w:val="0"/>
      <w:jc w:val="left"/>
    </w:pPr>
    <w:rPr>
      <w:sz w:val="18"/>
      <w:szCs w:val="18"/>
    </w:rPr>
  </w:style>
  <w:style w:type="character" w:customStyle="1" w:styleId="Char0">
    <w:name w:val="页脚 Char"/>
    <w:basedOn w:val="a0"/>
    <w:link w:val="a5"/>
    <w:uiPriority w:val="99"/>
    <w:rsid w:val="009E6ADE"/>
    <w:rPr>
      <w:rFonts w:ascii="Times New Roman" w:eastAsia="宋体" w:hAnsi="Times New Roman" w:cs="Times New Roman"/>
      <w:sz w:val="18"/>
      <w:szCs w:val="18"/>
    </w:rPr>
  </w:style>
  <w:style w:type="paragraph" w:styleId="a6">
    <w:name w:val="Body Text Indent"/>
    <w:basedOn w:val="a"/>
    <w:link w:val="Char1"/>
    <w:uiPriority w:val="99"/>
    <w:semiHidden/>
    <w:unhideWhenUsed/>
    <w:rsid w:val="00C30A98"/>
    <w:pPr>
      <w:spacing w:after="120"/>
      <w:ind w:leftChars="200" w:left="420"/>
    </w:pPr>
  </w:style>
  <w:style w:type="character" w:customStyle="1" w:styleId="Char1">
    <w:name w:val="正文文本缩进 Char"/>
    <w:basedOn w:val="a0"/>
    <w:link w:val="a6"/>
    <w:uiPriority w:val="99"/>
    <w:semiHidden/>
    <w:rsid w:val="00C30A98"/>
    <w:rPr>
      <w:rFonts w:ascii="Times New Roman" w:eastAsia="宋体" w:hAnsi="Times New Roman" w:cs="Times New Roman"/>
      <w:szCs w:val="24"/>
    </w:rPr>
  </w:style>
  <w:style w:type="paragraph" w:styleId="a7">
    <w:name w:val="Normal (Web)"/>
    <w:basedOn w:val="a"/>
    <w:qFormat/>
    <w:rsid w:val="00D83FA2"/>
    <w:pPr>
      <w:spacing w:beforeAutospacing="1" w:afterAutospacing="1"/>
      <w:jc w:val="left"/>
    </w:pPr>
    <w:rPr>
      <w:rFonts w:asciiTheme="minorHAnsi" w:eastAsiaTheme="minorEastAsia" w:hAnsiTheme="minorHAnsi"/>
      <w:kern w:val="0"/>
      <w:sz w:val="24"/>
    </w:rPr>
  </w:style>
  <w:style w:type="paragraph" w:styleId="a8">
    <w:name w:val="Balloon Text"/>
    <w:basedOn w:val="a"/>
    <w:link w:val="Char2"/>
    <w:uiPriority w:val="99"/>
    <w:semiHidden/>
    <w:unhideWhenUsed/>
    <w:rsid w:val="00804CC4"/>
    <w:rPr>
      <w:sz w:val="18"/>
      <w:szCs w:val="18"/>
    </w:rPr>
  </w:style>
  <w:style w:type="character" w:customStyle="1" w:styleId="Char2">
    <w:name w:val="批注框文本 Char"/>
    <w:basedOn w:val="a0"/>
    <w:link w:val="a8"/>
    <w:uiPriority w:val="99"/>
    <w:semiHidden/>
    <w:rsid w:val="00804CC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9E6ADE"/>
    <w:pPr>
      <w:adjustRightInd w:val="0"/>
      <w:snapToGrid w:val="0"/>
      <w:spacing w:line="360" w:lineRule="auto"/>
      <w:ind w:firstLine="630"/>
    </w:pPr>
    <w:rPr>
      <w:rFonts w:ascii="仿宋_GB2312" w:eastAsia="仿宋_GB2312"/>
      <w:sz w:val="32"/>
    </w:rPr>
  </w:style>
  <w:style w:type="character" w:customStyle="1" w:styleId="2Char">
    <w:name w:val="正文文本缩进 2 Char"/>
    <w:basedOn w:val="a0"/>
    <w:link w:val="2"/>
    <w:rsid w:val="009E6ADE"/>
    <w:rPr>
      <w:rFonts w:ascii="仿宋_GB2312" w:eastAsia="仿宋_GB2312" w:hAnsi="Times New Roman" w:cs="Times New Roman"/>
      <w:sz w:val="32"/>
      <w:szCs w:val="24"/>
    </w:rPr>
  </w:style>
  <w:style w:type="paragraph" w:styleId="a3">
    <w:name w:val="envelope return"/>
    <w:basedOn w:val="a"/>
    <w:rsid w:val="009E6ADE"/>
    <w:pPr>
      <w:snapToGrid w:val="0"/>
    </w:pPr>
    <w:rPr>
      <w:rFonts w:ascii="Arial" w:eastAsia="仿宋_GB2312" w:hAnsi="Arial"/>
      <w:sz w:val="32"/>
      <w:szCs w:val="20"/>
    </w:rPr>
  </w:style>
  <w:style w:type="paragraph" w:styleId="a4">
    <w:name w:val="header"/>
    <w:basedOn w:val="a"/>
    <w:link w:val="Char"/>
    <w:uiPriority w:val="99"/>
    <w:unhideWhenUsed/>
    <w:rsid w:val="009E6A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E6ADE"/>
    <w:rPr>
      <w:rFonts w:ascii="Times New Roman" w:eastAsia="宋体" w:hAnsi="Times New Roman" w:cs="Times New Roman"/>
      <w:sz w:val="18"/>
      <w:szCs w:val="18"/>
    </w:rPr>
  </w:style>
  <w:style w:type="paragraph" w:styleId="a5">
    <w:name w:val="footer"/>
    <w:basedOn w:val="a"/>
    <w:link w:val="Char0"/>
    <w:uiPriority w:val="99"/>
    <w:unhideWhenUsed/>
    <w:rsid w:val="009E6ADE"/>
    <w:pPr>
      <w:tabs>
        <w:tab w:val="center" w:pos="4153"/>
        <w:tab w:val="right" w:pos="8306"/>
      </w:tabs>
      <w:snapToGrid w:val="0"/>
      <w:jc w:val="left"/>
    </w:pPr>
    <w:rPr>
      <w:sz w:val="18"/>
      <w:szCs w:val="18"/>
    </w:rPr>
  </w:style>
  <w:style w:type="character" w:customStyle="1" w:styleId="Char0">
    <w:name w:val="页脚 Char"/>
    <w:basedOn w:val="a0"/>
    <w:link w:val="a5"/>
    <w:uiPriority w:val="99"/>
    <w:rsid w:val="009E6ADE"/>
    <w:rPr>
      <w:rFonts w:ascii="Times New Roman" w:eastAsia="宋体" w:hAnsi="Times New Roman" w:cs="Times New Roman"/>
      <w:sz w:val="18"/>
      <w:szCs w:val="18"/>
    </w:rPr>
  </w:style>
  <w:style w:type="paragraph" w:styleId="a6">
    <w:name w:val="Body Text Indent"/>
    <w:basedOn w:val="a"/>
    <w:link w:val="Char1"/>
    <w:uiPriority w:val="99"/>
    <w:semiHidden/>
    <w:unhideWhenUsed/>
    <w:rsid w:val="00C30A98"/>
    <w:pPr>
      <w:spacing w:after="120"/>
      <w:ind w:leftChars="200" w:left="420"/>
    </w:pPr>
  </w:style>
  <w:style w:type="character" w:customStyle="1" w:styleId="Char1">
    <w:name w:val="正文文本缩进 Char"/>
    <w:basedOn w:val="a0"/>
    <w:link w:val="a6"/>
    <w:uiPriority w:val="99"/>
    <w:semiHidden/>
    <w:rsid w:val="00C30A98"/>
    <w:rPr>
      <w:rFonts w:ascii="Times New Roman" w:eastAsia="宋体" w:hAnsi="Times New Roman" w:cs="Times New Roman"/>
      <w:szCs w:val="24"/>
    </w:rPr>
  </w:style>
  <w:style w:type="paragraph" w:styleId="a7">
    <w:name w:val="Normal (Web)"/>
    <w:basedOn w:val="a"/>
    <w:qFormat/>
    <w:rsid w:val="00D83FA2"/>
    <w:pPr>
      <w:spacing w:beforeAutospacing="1" w:afterAutospacing="1"/>
      <w:jc w:val="left"/>
    </w:pPr>
    <w:rPr>
      <w:rFonts w:asciiTheme="minorHAnsi" w:eastAsiaTheme="minorEastAsia" w:hAnsiTheme="minorHAnsi"/>
      <w:kern w:val="0"/>
      <w:sz w:val="24"/>
    </w:rPr>
  </w:style>
  <w:style w:type="paragraph" w:styleId="a8">
    <w:name w:val="Balloon Text"/>
    <w:basedOn w:val="a"/>
    <w:link w:val="Char2"/>
    <w:uiPriority w:val="99"/>
    <w:semiHidden/>
    <w:unhideWhenUsed/>
    <w:rsid w:val="00804CC4"/>
    <w:rPr>
      <w:sz w:val="18"/>
      <w:szCs w:val="18"/>
    </w:rPr>
  </w:style>
  <w:style w:type="character" w:customStyle="1" w:styleId="Char2">
    <w:name w:val="批注框文本 Char"/>
    <w:basedOn w:val="a0"/>
    <w:link w:val="a8"/>
    <w:uiPriority w:val="99"/>
    <w:semiHidden/>
    <w:rsid w:val="00804CC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426</Words>
  <Characters>2432</Characters>
  <Application>Microsoft Office Word</Application>
  <DocSecurity>0</DocSecurity>
  <Lines>20</Lines>
  <Paragraphs>5</Paragraphs>
  <ScaleCrop>false</ScaleCrop>
  <Company>zjsajj</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李秀琪</dc:creator>
  <cp:lastModifiedBy>李秀琪</cp:lastModifiedBy>
  <cp:revision>42</cp:revision>
  <dcterms:created xsi:type="dcterms:W3CDTF">2020-04-16T03:15:00Z</dcterms:created>
  <dcterms:modified xsi:type="dcterms:W3CDTF">2020-04-16T09:35:00Z</dcterms:modified>
</cp:coreProperties>
</file>