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70" w:rsidRPr="0053128B" w:rsidRDefault="00F76D8D">
      <w:pPr>
        <w:jc w:val="left"/>
        <w:rPr>
          <w:rFonts w:ascii="仿宋_GB2312" w:eastAsia="仿宋_GB2312" w:hAnsiTheme="minorEastAsia"/>
          <w:sz w:val="32"/>
          <w:szCs w:val="32"/>
        </w:rPr>
      </w:pPr>
      <w:r w:rsidRPr="0053128B">
        <w:rPr>
          <w:rFonts w:ascii="仿宋_GB2312" w:eastAsia="仿宋_GB2312" w:hAnsi="仿宋" w:cs="仿宋" w:hint="eastAsia"/>
          <w:color w:val="000000"/>
          <w:kern w:val="0"/>
          <w:sz w:val="32"/>
          <w:szCs w:val="32"/>
          <w:lang w:bidi="ar"/>
        </w:rPr>
        <w:t>附件2</w:t>
      </w:r>
    </w:p>
    <w:p w:rsidR="00951670" w:rsidRPr="0053128B" w:rsidRDefault="00F76D8D">
      <w:pPr>
        <w:jc w:val="center"/>
        <w:rPr>
          <w:rFonts w:ascii="华文中宋" w:eastAsia="华文中宋" w:hAnsi="华文中宋"/>
          <w:sz w:val="36"/>
          <w:szCs w:val="36"/>
        </w:rPr>
      </w:pPr>
      <w:r w:rsidRPr="0053128B">
        <w:rPr>
          <w:rFonts w:ascii="华文中宋" w:eastAsia="华文中宋" w:hAnsi="华文中宋" w:cs="宋体" w:hint="eastAsia"/>
          <w:b/>
          <w:color w:val="000000"/>
          <w:kern w:val="0"/>
          <w:sz w:val="36"/>
          <w:szCs w:val="36"/>
          <w:lang w:bidi="ar"/>
        </w:rPr>
        <w:t>保险机构及第三</w:t>
      </w:r>
      <w:proofErr w:type="gramStart"/>
      <w:r w:rsidRPr="0053128B">
        <w:rPr>
          <w:rFonts w:ascii="华文中宋" w:eastAsia="华文中宋" w:hAnsi="华文中宋" w:cs="宋体" w:hint="eastAsia"/>
          <w:b/>
          <w:color w:val="000000"/>
          <w:kern w:val="0"/>
          <w:sz w:val="36"/>
          <w:szCs w:val="36"/>
          <w:lang w:bidi="ar"/>
        </w:rPr>
        <w:t>方服务</w:t>
      </w:r>
      <w:proofErr w:type="gramEnd"/>
      <w:r w:rsidRPr="0053128B">
        <w:rPr>
          <w:rFonts w:ascii="华文中宋" w:eastAsia="华文中宋" w:hAnsi="华文中宋" w:cs="宋体" w:hint="eastAsia"/>
          <w:b/>
          <w:color w:val="000000"/>
          <w:kern w:val="0"/>
          <w:sz w:val="36"/>
          <w:szCs w:val="36"/>
          <w:lang w:bidi="ar"/>
        </w:rPr>
        <w:t>机构的服务要求（暂行）</w:t>
      </w:r>
    </w:p>
    <w:tbl>
      <w:tblPr>
        <w:tblW w:w="8443" w:type="dxa"/>
        <w:tblLayout w:type="fixed"/>
        <w:tblCellMar>
          <w:top w:w="15" w:type="dxa"/>
          <w:left w:w="15" w:type="dxa"/>
          <w:bottom w:w="15" w:type="dxa"/>
          <w:right w:w="15" w:type="dxa"/>
        </w:tblCellMar>
        <w:tblLook w:val="04A0" w:firstRow="1" w:lastRow="0" w:firstColumn="1" w:lastColumn="0" w:noHBand="0" w:noVBand="1"/>
      </w:tblPr>
      <w:tblGrid>
        <w:gridCol w:w="1181"/>
        <w:gridCol w:w="7262"/>
      </w:tblGrid>
      <w:tr w:rsidR="00951670" w:rsidRPr="0053128B" w:rsidTr="007212E4">
        <w:trPr>
          <w:trHeight w:val="2417"/>
        </w:trPr>
        <w:tc>
          <w:tcPr>
            <w:tcW w:w="1181" w:type="dxa"/>
            <w:tcBorders>
              <w:top w:val="single" w:sz="12" w:space="0" w:color="auto"/>
              <w:left w:val="single" w:sz="12" w:space="0" w:color="auto"/>
              <w:bottom w:val="single" w:sz="4" w:space="0" w:color="000000"/>
            </w:tcBorders>
            <w:shd w:val="clear" w:color="auto" w:fill="auto"/>
            <w:vAlign w:val="center"/>
          </w:tcPr>
          <w:p w:rsidR="00951670" w:rsidRPr="0053128B" w:rsidRDefault="00F76D8D">
            <w:pPr>
              <w:widowControl/>
              <w:jc w:val="center"/>
              <w:textAlignment w:val="center"/>
              <w:rPr>
                <w:rFonts w:ascii="宋体" w:eastAsia="宋体" w:hAnsi="宋体" w:cs="宋体"/>
                <w:b/>
                <w:color w:val="000000"/>
                <w:szCs w:val="21"/>
              </w:rPr>
            </w:pPr>
            <w:r w:rsidRPr="0053128B">
              <w:rPr>
                <w:rFonts w:ascii="宋体" w:eastAsia="宋体" w:hAnsi="宋体" w:cs="宋体" w:hint="eastAsia"/>
                <w:b/>
                <w:color w:val="000000"/>
                <w:kern w:val="0"/>
                <w:szCs w:val="21"/>
                <w:lang w:bidi="ar"/>
              </w:rPr>
              <w:t>非煤矿山</w:t>
            </w:r>
          </w:p>
        </w:tc>
        <w:tc>
          <w:tcPr>
            <w:tcW w:w="7262" w:type="dxa"/>
            <w:tcBorders>
              <w:top w:val="single" w:sz="12" w:space="0" w:color="auto"/>
              <w:left w:val="single" w:sz="4" w:space="0" w:color="000000"/>
              <w:bottom w:val="single" w:sz="4" w:space="0" w:color="000000"/>
              <w:right w:val="single" w:sz="12" w:space="0" w:color="auto"/>
            </w:tcBorders>
            <w:shd w:val="clear" w:color="auto" w:fill="auto"/>
            <w:vAlign w:val="center"/>
          </w:tcPr>
          <w:p w:rsidR="00951670" w:rsidRPr="0053128B" w:rsidRDefault="00F76D8D">
            <w:pPr>
              <w:widowControl/>
              <w:jc w:val="left"/>
              <w:textAlignment w:val="center"/>
              <w:rPr>
                <w:rFonts w:ascii="宋体" w:eastAsia="宋体" w:hAnsi="宋体" w:cs="宋体"/>
                <w:color w:val="000000"/>
                <w:kern w:val="0"/>
                <w:szCs w:val="21"/>
                <w:lang w:bidi="ar"/>
              </w:rPr>
            </w:pPr>
            <w:r w:rsidRPr="0053128B">
              <w:rPr>
                <w:rFonts w:ascii="宋体" w:eastAsia="宋体" w:hAnsi="宋体" w:cs="宋体" w:hint="eastAsia"/>
                <w:color w:val="000000"/>
                <w:kern w:val="0"/>
                <w:szCs w:val="21"/>
                <w:lang w:bidi="ar"/>
              </w:rPr>
              <w:t>1.重点帮助企业防范化解重大安全风险，消除重大事故隐患，要对照原国家安监总局印发《金属非金属矿山重大生产安全事故隐患判定标准（试行）》，在服务企业过程中，排查、发现重大事故隐患，协助企业建立安全风险防控体系、制定隐患整改方案，并将重大事故隐患清单及时反馈给当地应急管理部门，由当地应急管理部门督促企业落实事故隐患整改工作。</w:t>
            </w:r>
          </w:p>
          <w:p w:rsidR="00951670" w:rsidRPr="0053128B" w:rsidRDefault="00F76D8D">
            <w:pPr>
              <w:widowControl/>
              <w:jc w:val="left"/>
              <w:textAlignment w:val="center"/>
              <w:rPr>
                <w:rFonts w:ascii="宋体" w:eastAsia="宋体" w:hAnsi="宋体" w:cs="宋体"/>
                <w:color w:val="000000"/>
                <w:kern w:val="0"/>
                <w:szCs w:val="21"/>
                <w:lang w:bidi="ar"/>
              </w:rPr>
            </w:pPr>
            <w:r w:rsidRPr="0053128B">
              <w:rPr>
                <w:rFonts w:ascii="宋体" w:eastAsia="宋体" w:hAnsi="宋体" w:cs="宋体" w:hint="eastAsia"/>
                <w:color w:val="000000"/>
                <w:kern w:val="0"/>
                <w:szCs w:val="21"/>
                <w:lang w:bidi="ar"/>
              </w:rPr>
              <w:t>2.每年组织专家至少开展一次安全检查，形成安全检查报告，检查反映的企业安全状况与下一年保费适当挂钩。</w:t>
            </w:r>
          </w:p>
        </w:tc>
      </w:tr>
      <w:tr w:rsidR="00951670" w:rsidRPr="0053128B" w:rsidTr="007212E4">
        <w:trPr>
          <w:trHeight w:val="5484"/>
        </w:trPr>
        <w:tc>
          <w:tcPr>
            <w:tcW w:w="1181" w:type="dxa"/>
            <w:tcBorders>
              <w:top w:val="single" w:sz="4" w:space="0" w:color="000000"/>
              <w:left w:val="single" w:sz="12" w:space="0" w:color="auto"/>
              <w:bottom w:val="single" w:sz="4" w:space="0" w:color="000000"/>
            </w:tcBorders>
            <w:shd w:val="clear" w:color="auto" w:fill="auto"/>
            <w:vAlign w:val="center"/>
          </w:tcPr>
          <w:p w:rsidR="00951670" w:rsidRPr="0053128B" w:rsidRDefault="00F76D8D">
            <w:pPr>
              <w:widowControl/>
              <w:jc w:val="center"/>
              <w:textAlignment w:val="center"/>
              <w:rPr>
                <w:rFonts w:ascii="宋体" w:eastAsia="宋体" w:hAnsi="宋体" w:cs="宋体"/>
                <w:b/>
                <w:color w:val="000000"/>
                <w:szCs w:val="21"/>
              </w:rPr>
            </w:pPr>
            <w:r w:rsidRPr="0053128B">
              <w:rPr>
                <w:rFonts w:ascii="宋体" w:eastAsia="宋体" w:hAnsi="宋体" w:cs="宋体" w:hint="eastAsia"/>
                <w:b/>
                <w:color w:val="000000"/>
                <w:kern w:val="0"/>
                <w:szCs w:val="21"/>
                <w:lang w:bidi="ar"/>
              </w:rPr>
              <w:t>危险化学品</w:t>
            </w:r>
          </w:p>
        </w:tc>
        <w:tc>
          <w:tcPr>
            <w:tcW w:w="7262" w:type="dxa"/>
            <w:tcBorders>
              <w:top w:val="single" w:sz="4" w:space="0" w:color="000000"/>
              <w:left w:val="single" w:sz="4" w:space="0" w:color="000000"/>
              <w:bottom w:val="single" w:sz="4" w:space="0" w:color="000000"/>
              <w:right w:val="single" w:sz="12" w:space="0" w:color="auto"/>
            </w:tcBorders>
            <w:shd w:val="clear" w:color="auto" w:fill="auto"/>
            <w:vAlign w:val="center"/>
          </w:tcPr>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1.全面了解被保险企业的基本情况，危险化学品生产、使用和储存情况，涉及“两重点</w:t>
            </w:r>
            <w:proofErr w:type="gramStart"/>
            <w:r w:rsidRPr="0053128B">
              <w:rPr>
                <w:rFonts w:ascii="宋体" w:eastAsia="宋体" w:hAnsi="宋体" w:cs="宋体" w:hint="eastAsia"/>
                <w:color w:val="000000"/>
                <w:szCs w:val="21"/>
              </w:rPr>
              <w:t>一</w:t>
            </w:r>
            <w:proofErr w:type="gramEnd"/>
            <w:r w:rsidRPr="0053128B">
              <w:rPr>
                <w:rFonts w:ascii="宋体" w:eastAsia="宋体" w:hAnsi="宋体" w:cs="宋体" w:hint="eastAsia"/>
                <w:color w:val="000000"/>
                <w:szCs w:val="21"/>
              </w:rPr>
              <w:t>重大”情况，风险分级管控和隐患排查治理“双重预防机制”建立和执行情况，安全风险</w:t>
            </w:r>
            <w:proofErr w:type="gramStart"/>
            <w:r w:rsidRPr="0053128B">
              <w:rPr>
                <w:rFonts w:ascii="宋体" w:eastAsia="宋体" w:hAnsi="宋体" w:cs="宋体" w:hint="eastAsia"/>
                <w:color w:val="000000"/>
                <w:szCs w:val="21"/>
              </w:rPr>
              <w:t>研</w:t>
            </w:r>
            <w:proofErr w:type="gramEnd"/>
            <w:r w:rsidRPr="0053128B">
              <w:rPr>
                <w:rFonts w:ascii="宋体" w:eastAsia="宋体" w:hAnsi="宋体" w:cs="宋体" w:hint="eastAsia"/>
                <w:color w:val="000000"/>
                <w:szCs w:val="21"/>
              </w:rPr>
              <w:t>判与承诺公告执行情况，安全评价（含整改闭环）开展情况等。</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2.保险合同签订后，应及时向被保险企业提供合同讲解、保险知识讲解、理赔流程讲解等培训讲解。</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3.每年组织专家，按照《危险化学品企业安全风险患排查治理导则》（应急〔2019〕78号）要求开展一次全面安全检查，形成检查报告，跟踪整改闭环，并报送属地有关部门。</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4.按照《化工和危险化学品生产经营单位重大生产安全事故隐患判定标准（试行）》要求，检查发现被保险企业存在重大生产安全事故隐患及时向属地有关部门报告。</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5.每年组织专家对企业开展至少一次安全教育培训和事故应急演练，并形成总结报告。</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6.建议保险公司与化工企业所在园区第三</w:t>
            </w:r>
            <w:proofErr w:type="gramStart"/>
            <w:r w:rsidRPr="0053128B">
              <w:rPr>
                <w:rFonts w:ascii="宋体" w:eastAsia="宋体" w:hAnsi="宋体" w:cs="宋体" w:hint="eastAsia"/>
                <w:color w:val="000000"/>
                <w:szCs w:val="21"/>
              </w:rPr>
              <w:t>方专业</w:t>
            </w:r>
            <w:proofErr w:type="gramEnd"/>
            <w:r w:rsidRPr="0053128B">
              <w:rPr>
                <w:rFonts w:ascii="宋体" w:eastAsia="宋体" w:hAnsi="宋体" w:cs="宋体" w:hint="eastAsia"/>
                <w:color w:val="000000"/>
                <w:szCs w:val="21"/>
              </w:rPr>
              <w:t>服务机构签订合作协议，由第三方提供日常企业服务，第三方向保险公司定期提供日常服务情况报告，报告结论与下一年保费挂钩。</w:t>
            </w:r>
          </w:p>
        </w:tc>
      </w:tr>
      <w:tr w:rsidR="00951670" w:rsidRPr="0053128B" w:rsidTr="007212E4">
        <w:trPr>
          <w:trHeight w:val="4358"/>
        </w:trPr>
        <w:tc>
          <w:tcPr>
            <w:tcW w:w="1181" w:type="dxa"/>
            <w:tcBorders>
              <w:top w:val="single" w:sz="4" w:space="0" w:color="000000"/>
              <w:left w:val="single" w:sz="12" w:space="0" w:color="auto"/>
              <w:bottom w:val="single" w:sz="12" w:space="0" w:color="auto"/>
            </w:tcBorders>
            <w:shd w:val="clear" w:color="auto" w:fill="auto"/>
            <w:vAlign w:val="center"/>
          </w:tcPr>
          <w:p w:rsidR="00951670" w:rsidRPr="0053128B" w:rsidRDefault="00F76D8D">
            <w:pPr>
              <w:widowControl/>
              <w:jc w:val="center"/>
              <w:textAlignment w:val="center"/>
              <w:rPr>
                <w:rFonts w:ascii="宋体" w:eastAsia="宋体" w:hAnsi="宋体" w:cs="宋体"/>
                <w:b/>
                <w:color w:val="000000"/>
                <w:szCs w:val="21"/>
              </w:rPr>
            </w:pPr>
            <w:r w:rsidRPr="0053128B">
              <w:rPr>
                <w:rFonts w:ascii="宋体" w:eastAsia="宋体" w:hAnsi="宋体" w:cs="宋体" w:hint="eastAsia"/>
                <w:b/>
                <w:color w:val="000000"/>
                <w:kern w:val="0"/>
                <w:szCs w:val="21"/>
                <w:lang w:bidi="ar"/>
              </w:rPr>
              <w:t>烟花爆竹</w:t>
            </w:r>
          </w:p>
        </w:tc>
        <w:tc>
          <w:tcPr>
            <w:tcW w:w="7262" w:type="dxa"/>
            <w:tcBorders>
              <w:top w:val="single" w:sz="4" w:space="0" w:color="000000"/>
              <w:left w:val="single" w:sz="4" w:space="0" w:color="000000"/>
              <w:bottom w:val="single" w:sz="12" w:space="0" w:color="auto"/>
              <w:right w:val="single" w:sz="12" w:space="0" w:color="auto"/>
            </w:tcBorders>
            <w:shd w:val="clear" w:color="auto" w:fill="auto"/>
            <w:vAlign w:val="center"/>
          </w:tcPr>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1.全面了解被保险企业的基本情况，烟花爆竹生产、经营和储存情况，烟花爆竹流向登记情况，风险分级管控和隐患排查治理“双重预防机制”建立和执行情况，安全评价（含整改闭环）开展情况等。</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2.保险合同签订后，应及时向被保险企业提供合同讲解、保险知识讲解、理赔流程讲解等培训讲解。</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3.每年组织专家，按照《烟花爆竹安全管理条例》、《烟花爆竹工厂设计安全规范》等法规标准要求，开展一次全面安全检查，形成检查报告，跟踪整改闭环，并报送属地有关部门。</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4.每年组织专家对企业开展至少一次安全教育培训和事故应急演练，并形成总结报告。</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5.建议保险公司与第三</w:t>
            </w:r>
            <w:proofErr w:type="gramStart"/>
            <w:r w:rsidRPr="0053128B">
              <w:rPr>
                <w:rFonts w:ascii="宋体" w:eastAsia="宋体" w:hAnsi="宋体" w:cs="宋体" w:hint="eastAsia"/>
                <w:color w:val="000000"/>
                <w:szCs w:val="21"/>
              </w:rPr>
              <w:t>方专业</w:t>
            </w:r>
            <w:proofErr w:type="gramEnd"/>
            <w:r w:rsidRPr="0053128B">
              <w:rPr>
                <w:rFonts w:ascii="宋体" w:eastAsia="宋体" w:hAnsi="宋体" w:cs="宋体" w:hint="eastAsia"/>
                <w:color w:val="000000"/>
                <w:szCs w:val="21"/>
              </w:rPr>
              <w:t>服务机构签订合作协议，由第三方提供日常企业服务，第三方向保险公司定期提供日常服务情况报告，报告结论与下一年保费挂钩。</w:t>
            </w:r>
          </w:p>
        </w:tc>
      </w:tr>
      <w:tr w:rsidR="00951670" w:rsidRPr="0053128B" w:rsidTr="007212E4">
        <w:trPr>
          <w:trHeight w:val="312"/>
        </w:trPr>
        <w:tc>
          <w:tcPr>
            <w:tcW w:w="1181" w:type="dxa"/>
            <w:vMerge w:val="restart"/>
            <w:tcBorders>
              <w:top w:val="single" w:sz="12" w:space="0" w:color="auto"/>
              <w:left w:val="single" w:sz="12" w:space="0" w:color="auto"/>
              <w:bottom w:val="single" w:sz="4" w:space="0" w:color="000000"/>
              <w:right w:val="single" w:sz="4" w:space="0" w:color="000000"/>
            </w:tcBorders>
            <w:shd w:val="clear" w:color="auto" w:fill="auto"/>
            <w:vAlign w:val="center"/>
          </w:tcPr>
          <w:p w:rsidR="00951670" w:rsidRPr="0053128B" w:rsidRDefault="00F76D8D">
            <w:pPr>
              <w:widowControl/>
              <w:jc w:val="center"/>
              <w:textAlignment w:val="center"/>
              <w:rPr>
                <w:rFonts w:ascii="宋体" w:eastAsia="宋体" w:hAnsi="宋体" w:cs="宋体"/>
                <w:b/>
                <w:color w:val="000000"/>
                <w:szCs w:val="21"/>
              </w:rPr>
            </w:pPr>
            <w:r w:rsidRPr="0053128B">
              <w:rPr>
                <w:rFonts w:ascii="宋体" w:eastAsia="宋体" w:hAnsi="宋体" w:cs="宋体" w:hint="eastAsia"/>
                <w:b/>
                <w:color w:val="000000"/>
                <w:kern w:val="0"/>
                <w:szCs w:val="21"/>
                <w:lang w:bidi="ar"/>
              </w:rPr>
              <w:lastRenderedPageBreak/>
              <w:t>交通运输</w:t>
            </w:r>
          </w:p>
        </w:tc>
        <w:tc>
          <w:tcPr>
            <w:tcW w:w="7262" w:type="dxa"/>
            <w:vMerge w:val="restart"/>
            <w:tcBorders>
              <w:top w:val="single" w:sz="12" w:space="0" w:color="auto"/>
              <w:left w:val="single" w:sz="4" w:space="0" w:color="000000"/>
              <w:bottom w:val="single" w:sz="4" w:space="0" w:color="000000"/>
              <w:right w:val="single" w:sz="12" w:space="0" w:color="auto"/>
            </w:tcBorders>
            <w:shd w:val="clear" w:color="auto" w:fill="auto"/>
            <w:vAlign w:val="center"/>
          </w:tcPr>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1.保险公司要全面了解被保险企业的基本概况、安全生产现状、安全管理体制和机制运行情况、安全风险点、安全薄弱环节等，对企业安全生产现状及风险状况</w:t>
            </w:r>
            <w:proofErr w:type="gramStart"/>
            <w:r w:rsidRPr="0053128B">
              <w:rPr>
                <w:rFonts w:ascii="宋体" w:eastAsia="宋体" w:hAnsi="宋体" w:cs="宋体" w:hint="eastAsia"/>
                <w:color w:val="000000"/>
                <w:szCs w:val="21"/>
              </w:rPr>
              <w:t>作出</w:t>
            </w:r>
            <w:proofErr w:type="gramEnd"/>
            <w:r w:rsidRPr="0053128B">
              <w:rPr>
                <w:rFonts w:ascii="宋体" w:eastAsia="宋体" w:hAnsi="宋体" w:cs="宋体" w:hint="eastAsia"/>
                <w:color w:val="000000"/>
                <w:szCs w:val="21"/>
              </w:rPr>
              <w:t>正确评估，为全面参与作好基础工作。</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2.保险公司要全面参与被保险企业的安全生产全过程，主动与企业一起参与安全管理顶层设计、分析</w:t>
            </w:r>
            <w:proofErr w:type="gramStart"/>
            <w:r w:rsidRPr="0053128B">
              <w:rPr>
                <w:rFonts w:ascii="宋体" w:eastAsia="宋体" w:hAnsi="宋体" w:cs="宋体" w:hint="eastAsia"/>
                <w:color w:val="000000"/>
                <w:szCs w:val="21"/>
              </w:rPr>
              <w:t>研判安全</w:t>
            </w:r>
            <w:proofErr w:type="gramEnd"/>
            <w:r w:rsidRPr="0053128B">
              <w:rPr>
                <w:rFonts w:ascii="宋体" w:eastAsia="宋体" w:hAnsi="宋体" w:cs="宋体" w:hint="eastAsia"/>
                <w:color w:val="000000"/>
                <w:szCs w:val="21"/>
              </w:rPr>
              <w:t>状况、及时进行安全风险检测和预警；</w:t>
            </w:r>
          </w:p>
          <w:p w:rsidR="00951670" w:rsidRPr="0053128B" w:rsidRDefault="00F76D8D">
            <w:pPr>
              <w:widowControl/>
              <w:jc w:val="left"/>
              <w:textAlignment w:val="center"/>
              <w:rPr>
                <w:rFonts w:ascii="宋体" w:eastAsia="宋体" w:hAnsi="宋体" w:cs="宋体"/>
                <w:szCs w:val="21"/>
              </w:rPr>
            </w:pPr>
            <w:r w:rsidRPr="0053128B">
              <w:rPr>
                <w:rFonts w:ascii="宋体" w:eastAsia="宋体" w:hAnsi="宋体" w:cs="宋体" w:hint="eastAsia"/>
                <w:color w:val="000000"/>
                <w:szCs w:val="21"/>
              </w:rPr>
              <w:t>3.保险公司要及时向企业提供保险合同讲解、保险知识讲解、理赔知识及流程的培训，每年保证两次；及时向企业提供防灾防损咨询服务，每年至少举办一次针对企业的防灾防损检查活动并提供相应书面建议；</w:t>
            </w:r>
            <w:r w:rsidRPr="0053128B">
              <w:rPr>
                <w:rFonts w:ascii="宋体" w:eastAsia="宋体" w:hAnsi="宋体" w:cs="宋体" w:hint="eastAsia"/>
                <w:szCs w:val="21"/>
              </w:rPr>
              <w:t>开展安全生产和职业病防治的教育培训和安全知识更新（每年至少举办一次）；</w:t>
            </w:r>
          </w:p>
          <w:p w:rsidR="00951670" w:rsidRPr="0053128B" w:rsidRDefault="00F76D8D">
            <w:pPr>
              <w:widowControl/>
              <w:jc w:val="left"/>
              <w:textAlignment w:val="center"/>
              <w:rPr>
                <w:rFonts w:ascii="宋体" w:eastAsia="宋体" w:hAnsi="宋体" w:cs="宋体"/>
                <w:szCs w:val="21"/>
              </w:rPr>
            </w:pPr>
            <w:r w:rsidRPr="0053128B">
              <w:rPr>
                <w:rFonts w:ascii="宋体" w:eastAsia="宋体" w:hAnsi="宋体" w:cs="宋体" w:hint="eastAsia"/>
                <w:szCs w:val="21"/>
              </w:rPr>
              <w:t xml:space="preserve">4.保险公司要主动协助企业进行事故的后续处理，包括但不限于现场指导、现场调解、提供事故处理建议书、协助向保险公司索赔等工作；要积极协同事故处置和善后“四不放过”工作，协助企业分析事故原因，指导企业整改提高工作； </w:t>
            </w:r>
          </w:p>
          <w:p w:rsidR="00951670" w:rsidRPr="0053128B" w:rsidRDefault="00F76D8D">
            <w:pPr>
              <w:widowControl/>
              <w:jc w:val="left"/>
              <w:textAlignment w:val="center"/>
              <w:rPr>
                <w:rFonts w:ascii="宋体" w:eastAsia="宋体" w:hAnsi="宋体" w:cs="宋体"/>
                <w:szCs w:val="21"/>
              </w:rPr>
            </w:pPr>
            <w:r w:rsidRPr="0053128B">
              <w:rPr>
                <w:rFonts w:ascii="宋体" w:eastAsia="宋体" w:hAnsi="宋体" w:cs="宋体" w:hint="eastAsia"/>
                <w:szCs w:val="21"/>
              </w:rPr>
              <w:t>5.保险公司要主动做好参保单位开展安全生产标准化建设，对安全生产制度建立健全、制度执行情况等按要求进行评价，指出存在问题，指导企业做好事故防范工作；</w:t>
            </w:r>
          </w:p>
          <w:p w:rsidR="00951670" w:rsidRPr="0053128B" w:rsidRDefault="00F76D8D">
            <w:pPr>
              <w:widowControl/>
              <w:jc w:val="left"/>
              <w:textAlignment w:val="center"/>
              <w:rPr>
                <w:rFonts w:ascii="宋体" w:eastAsia="宋体" w:hAnsi="宋体" w:cs="宋体"/>
                <w:szCs w:val="21"/>
              </w:rPr>
            </w:pPr>
            <w:r w:rsidRPr="0053128B">
              <w:rPr>
                <w:rFonts w:ascii="宋体" w:eastAsia="宋体" w:hAnsi="宋体" w:cs="宋体" w:hint="eastAsia"/>
                <w:szCs w:val="21"/>
              </w:rPr>
              <w:t>6.保险公司要配合参保单</w:t>
            </w:r>
            <w:proofErr w:type="gramStart"/>
            <w:r w:rsidRPr="0053128B">
              <w:rPr>
                <w:rFonts w:ascii="宋体" w:eastAsia="宋体" w:hAnsi="宋体" w:cs="宋体" w:hint="eastAsia"/>
                <w:szCs w:val="21"/>
              </w:rPr>
              <w:t>位做好</w:t>
            </w:r>
            <w:proofErr w:type="gramEnd"/>
            <w:r w:rsidRPr="0053128B">
              <w:rPr>
                <w:rFonts w:ascii="宋体" w:eastAsia="宋体" w:hAnsi="宋体" w:cs="宋体" w:hint="eastAsia"/>
                <w:szCs w:val="21"/>
              </w:rPr>
              <w:t>安全生产应急预案编制、应急救援演练和评估等活动；</w:t>
            </w:r>
          </w:p>
          <w:p w:rsidR="00951670" w:rsidRPr="0053128B" w:rsidRDefault="00F76D8D">
            <w:pPr>
              <w:widowControl/>
              <w:jc w:val="left"/>
              <w:textAlignment w:val="center"/>
              <w:rPr>
                <w:rFonts w:ascii="宋体" w:eastAsia="宋体" w:hAnsi="宋体" w:cs="宋体"/>
                <w:szCs w:val="21"/>
              </w:rPr>
            </w:pPr>
            <w:r w:rsidRPr="0053128B">
              <w:rPr>
                <w:rFonts w:ascii="宋体" w:eastAsia="宋体" w:hAnsi="宋体" w:cs="宋体" w:hint="eastAsia"/>
                <w:szCs w:val="21"/>
              </w:rPr>
              <w:t>7.保险公司要加强安全生产科技推广应用，加大对事故主动防御等系统的投入；</w:t>
            </w:r>
          </w:p>
          <w:p w:rsidR="00951670" w:rsidRPr="0053128B" w:rsidRDefault="00F76D8D">
            <w:pPr>
              <w:widowControl/>
              <w:jc w:val="left"/>
              <w:textAlignment w:val="center"/>
              <w:rPr>
                <w:rFonts w:ascii="宋体" w:eastAsia="宋体" w:hAnsi="宋体" w:cs="宋体"/>
                <w:color w:val="FF0000"/>
                <w:szCs w:val="21"/>
              </w:rPr>
            </w:pPr>
            <w:r w:rsidRPr="0053128B">
              <w:rPr>
                <w:rFonts w:ascii="宋体" w:eastAsia="宋体" w:hAnsi="宋体" w:cs="宋体" w:hint="eastAsia"/>
                <w:szCs w:val="21"/>
              </w:rPr>
              <w:t>8.保险公司要建立安全生产专家库，定期组织专家或有相应资质的第三</w:t>
            </w:r>
            <w:proofErr w:type="gramStart"/>
            <w:r w:rsidRPr="0053128B">
              <w:rPr>
                <w:rFonts w:ascii="宋体" w:eastAsia="宋体" w:hAnsi="宋体" w:cs="宋体" w:hint="eastAsia"/>
                <w:szCs w:val="21"/>
              </w:rPr>
              <w:t>方专业</w:t>
            </w:r>
            <w:proofErr w:type="gramEnd"/>
            <w:r w:rsidRPr="0053128B">
              <w:rPr>
                <w:rFonts w:ascii="宋体" w:eastAsia="宋体" w:hAnsi="宋体" w:cs="宋体" w:hint="eastAsia"/>
                <w:szCs w:val="21"/>
              </w:rPr>
              <w:t>机构对参保单位进行安全风险评估，开展隐患排查治理，要在保险合同中明确服务项目及频次（每年至少一次）。</w:t>
            </w:r>
          </w:p>
        </w:tc>
      </w:tr>
      <w:tr w:rsidR="00951670" w:rsidRPr="0053128B" w:rsidTr="007212E4">
        <w:trPr>
          <w:trHeight w:val="360"/>
        </w:trPr>
        <w:tc>
          <w:tcPr>
            <w:tcW w:w="1181" w:type="dxa"/>
            <w:vMerge/>
            <w:tcBorders>
              <w:top w:val="single" w:sz="4" w:space="0" w:color="000000"/>
              <w:left w:val="single" w:sz="12" w:space="0" w:color="auto"/>
              <w:bottom w:val="single" w:sz="4" w:space="0" w:color="000000"/>
              <w:right w:val="single" w:sz="4" w:space="0" w:color="000000"/>
            </w:tcBorders>
            <w:shd w:val="clear" w:color="auto" w:fill="auto"/>
            <w:vAlign w:val="center"/>
          </w:tcPr>
          <w:p w:rsidR="00951670" w:rsidRPr="0053128B" w:rsidRDefault="00951670">
            <w:pPr>
              <w:jc w:val="center"/>
              <w:rPr>
                <w:rFonts w:ascii="宋体" w:eastAsia="宋体" w:hAnsi="宋体" w:cs="宋体"/>
                <w:b/>
                <w:color w:val="000000"/>
                <w:szCs w:val="21"/>
              </w:rPr>
            </w:pPr>
          </w:p>
        </w:tc>
        <w:tc>
          <w:tcPr>
            <w:tcW w:w="7262" w:type="dxa"/>
            <w:vMerge/>
            <w:tcBorders>
              <w:top w:val="single" w:sz="4" w:space="0" w:color="000000"/>
              <w:left w:val="single" w:sz="4" w:space="0" w:color="000000"/>
              <w:bottom w:val="single" w:sz="4" w:space="0" w:color="000000"/>
              <w:right w:val="single" w:sz="12" w:space="0" w:color="auto"/>
            </w:tcBorders>
            <w:shd w:val="clear" w:color="auto" w:fill="auto"/>
            <w:vAlign w:val="center"/>
          </w:tcPr>
          <w:p w:rsidR="00951670" w:rsidRPr="0053128B" w:rsidRDefault="00951670">
            <w:pPr>
              <w:jc w:val="left"/>
              <w:rPr>
                <w:rFonts w:ascii="宋体" w:eastAsia="宋体" w:hAnsi="宋体" w:cs="宋体"/>
                <w:color w:val="000000"/>
                <w:szCs w:val="21"/>
              </w:rPr>
            </w:pPr>
          </w:p>
        </w:tc>
      </w:tr>
      <w:tr w:rsidR="00951670" w:rsidRPr="0053128B" w:rsidTr="007212E4">
        <w:trPr>
          <w:trHeight w:val="443"/>
        </w:trPr>
        <w:tc>
          <w:tcPr>
            <w:tcW w:w="1181" w:type="dxa"/>
            <w:vMerge/>
            <w:tcBorders>
              <w:top w:val="single" w:sz="4" w:space="0" w:color="000000"/>
              <w:left w:val="single" w:sz="12" w:space="0" w:color="auto"/>
              <w:bottom w:val="single" w:sz="4" w:space="0" w:color="000000"/>
              <w:right w:val="single" w:sz="4" w:space="0" w:color="000000"/>
            </w:tcBorders>
            <w:shd w:val="clear" w:color="auto" w:fill="auto"/>
            <w:vAlign w:val="center"/>
          </w:tcPr>
          <w:p w:rsidR="00951670" w:rsidRPr="0053128B" w:rsidRDefault="00951670">
            <w:pPr>
              <w:jc w:val="center"/>
              <w:rPr>
                <w:rFonts w:ascii="宋体" w:eastAsia="宋体" w:hAnsi="宋体" w:cs="宋体"/>
                <w:b/>
                <w:color w:val="000000"/>
                <w:szCs w:val="21"/>
              </w:rPr>
            </w:pPr>
          </w:p>
        </w:tc>
        <w:tc>
          <w:tcPr>
            <w:tcW w:w="7262" w:type="dxa"/>
            <w:vMerge/>
            <w:tcBorders>
              <w:top w:val="single" w:sz="4" w:space="0" w:color="000000"/>
              <w:left w:val="single" w:sz="4" w:space="0" w:color="000000"/>
              <w:bottom w:val="single" w:sz="4" w:space="0" w:color="000000"/>
              <w:right w:val="single" w:sz="12" w:space="0" w:color="auto"/>
            </w:tcBorders>
            <w:shd w:val="clear" w:color="auto" w:fill="auto"/>
            <w:vAlign w:val="center"/>
          </w:tcPr>
          <w:p w:rsidR="00951670" w:rsidRPr="0053128B" w:rsidRDefault="00951670">
            <w:pPr>
              <w:jc w:val="left"/>
              <w:rPr>
                <w:rFonts w:ascii="宋体" w:eastAsia="宋体" w:hAnsi="宋体" w:cs="宋体"/>
                <w:color w:val="000000"/>
                <w:szCs w:val="21"/>
              </w:rPr>
            </w:pPr>
          </w:p>
        </w:tc>
      </w:tr>
      <w:tr w:rsidR="00951670" w:rsidRPr="0053128B" w:rsidTr="007212E4">
        <w:trPr>
          <w:trHeight w:val="852"/>
        </w:trPr>
        <w:tc>
          <w:tcPr>
            <w:tcW w:w="1181" w:type="dxa"/>
            <w:tcBorders>
              <w:top w:val="single" w:sz="4" w:space="0" w:color="000000"/>
              <w:left w:val="single" w:sz="12" w:space="0" w:color="auto"/>
              <w:bottom w:val="single" w:sz="12" w:space="0" w:color="auto"/>
            </w:tcBorders>
            <w:shd w:val="clear" w:color="auto" w:fill="auto"/>
            <w:vAlign w:val="center"/>
          </w:tcPr>
          <w:p w:rsidR="00951670" w:rsidRPr="0053128B" w:rsidRDefault="00F76D8D">
            <w:pPr>
              <w:widowControl/>
              <w:jc w:val="center"/>
              <w:textAlignment w:val="center"/>
              <w:rPr>
                <w:rFonts w:ascii="宋体" w:eastAsia="宋体" w:hAnsi="宋体" w:cs="宋体"/>
                <w:b/>
                <w:color w:val="000000"/>
                <w:szCs w:val="21"/>
              </w:rPr>
            </w:pPr>
            <w:r w:rsidRPr="0053128B">
              <w:rPr>
                <w:rFonts w:ascii="宋体" w:eastAsia="宋体" w:hAnsi="宋体" w:cs="宋体" w:hint="eastAsia"/>
                <w:b/>
                <w:color w:val="000000"/>
                <w:kern w:val="0"/>
                <w:szCs w:val="21"/>
                <w:lang w:bidi="ar"/>
              </w:rPr>
              <w:t>建筑施工</w:t>
            </w:r>
          </w:p>
        </w:tc>
        <w:tc>
          <w:tcPr>
            <w:tcW w:w="7262" w:type="dxa"/>
            <w:tcBorders>
              <w:top w:val="single" w:sz="4" w:space="0" w:color="000000"/>
              <w:left w:val="single" w:sz="4" w:space="0" w:color="000000"/>
              <w:bottom w:val="single" w:sz="12" w:space="0" w:color="auto"/>
              <w:right w:val="single" w:sz="12" w:space="0" w:color="auto"/>
            </w:tcBorders>
            <w:shd w:val="clear" w:color="auto" w:fill="auto"/>
            <w:vAlign w:val="center"/>
          </w:tcPr>
          <w:p w:rsidR="00951670" w:rsidRPr="0053128B" w:rsidRDefault="00F76D8D">
            <w:pPr>
              <w:rPr>
                <w:rFonts w:ascii="宋体" w:eastAsia="宋体" w:hAnsi="宋体" w:cs="宋体"/>
                <w:color w:val="000000"/>
                <w:szCs w:val="21"/>
              </w:rPr>
            </w:pPr>
            <w:r w:rsidRPr="0053128B">
              <w:rPr>
                <w:rFonts w:ascii="宋体" w:eastAsia="宋体" w:hAnsi="宋体" w:cs="宋体" w:hint="eastAsia"/>
                <w:color w:val="000000"/>
                <w:szCs w:val="21"/>
              </w:rPr>
              <w:t>1.保险公司要全面知悉参保单</w:t>
            </w:r>
            <w:proofErr w:type="gramStart"/>
            <w:r w:rsidRPr="0053128B">
              <w:rPr>
                <w:rFonts w:ascii="宋体" w:eastAsia="宋体" w:hAnsi="宋体" w:cs="宋体" w:hint="eastAsia"/>
                <w:color w:val="000000"/>
                <w:szCs w:val="21"/>
              </w:rPr>
              <w:t>位安全</w:t>
            </w:r>
            <w:proofErr w:type="gramEnd"/>
            <w:r w:rsidRPr="0053128B">
              <w:rPr>
                <w:rFonts w:ascii="宋体" w:eastAsia="宋体" w:hAnsi="宋体" w:cs="宋体" w:hint="eastAsia"/>
                <w:color w:val="000000"/>
                <w:szCs w:val="21"/>
              </w:rPr>
              <w:t>机制运行、安全薄弱环节等安全生产管理现状，建立事前预防机制，主动协助参保单位开展安全生产和职业病防治宣传教育培训、安全生产标准化建设、安全生产应急预案编制和应急救援演练、安全生产科技推广应用等活动，促进参保单位提升安全生产管理水平。</w:t>
            </w:r>
          </w:p>
          <w:p w:rsidR="00951670" w:rsidRPr="0053128B" w:rsidRDefault="00F76D8D">
            <w:pPr>
              <w:rPr>
                <w:rFonts w:ascii="宋体" w:eastAsia="宋体" w:hAnsi="宋体" w:cs="宋体"/>
                <w:color w:val="000000"/>
                <w:szCs w:val="21"/>
              </w:rPr>
            </w:pPr>
            <w:r w:rsidRPr="0053128B">
              <w:rPr>
                <w:rFonts w:ascii="宋体" w:eastAsia="宋体" w:hAnsi="宋体" w:cs="宋体" w:hint="eastAsia"/>
                <w:color w:val="000000"/>
                <w:szCs w:val="21"/>
              </w:rPr>
              <w:t>2.保险公司要及时掌握投保工程的动态，针对工地实际，制定“</w:t>
            </w:r>
            <w:proofErr w:type="gramStart"/>
            <w:r w:rsidRPr="0053128B">
              <w:rPr>
                <w:rFonts w:ascii="宋体" w:eastAsia="宋体" w:hAnsi="宋体" w:cs="宋体" w:hint="eastAsia"/>
                <w:color w:val="000000"/>
                <w:szCs w:val="21"/>
              </w:rPr>
              <w:t>一</w:t>
            </w:r>
            <w:proofErr w:type="gramEnd"/>
            <w:r w:rsidRPr="0053128B">
              <w:rPr>
                <w:rFonts w:ascii="宋体" w:eastAsia="宋体" w:hAnsi="宋体" w:cs="宋体" w:hint="eastAsia"/>
                <w:color w:val="000000"/>
                <w:szCs w:val="21"/>
              </w:rPr>
              <w:t>工地</w:t>
            </w:r>
            <w:proofErr w:type="gramStart"/>
            <w:r w:rsidRPr="0053128B">
              <w:rPr>
                <w:rFonts w:ascii="宋体" w:eastAsia="宋体" w:hAnsi="宋体" w:cs="宋体" w:hint="eastAsia"/>
                <w:color w:val="000000"/>
                <w:szCs w:val="21"/>
              </w:rPr>
              <w:t>一</w:t>
            </w:r>
            <w:proofErr w:type="gramEnd"/>
            <w:r w:rsidRPr="0053128B">
              <w:rPr>
                <w:rFonts w:ascii="宋体" w:eastAsia="宋体" w:hAnsi="宋体" w:cs="宋体" w:hint="eastAsia"/>
                <w:color w:val="000000"/>
                <w:szCs w:val="21"/>
              </w:rPr>
              <w:t>方案”的服务计划，重点帮助参保单位防范化解重大安全风险，消除重大事故隐患。</w:t>
            </w:r>
          </w:p>
          <w:p w:rsidR="00951670" w:rsidRPr="0053128B" w:rsidRDefault="00F76D8D">
            <w:pPr>
              <w:rPr>
                <w:rFonts w:ascii="宋体" w:eastAsia="宋体" w:hAnsi="宋体" w:cs="宋体"/>
                <w:color w:val="000000"/>
                <w:szCs w:val="21"/>
              </w:rPr>
            </w:pPr>
            <w:r w:rsidRPr="0053128B">
              <w:rPr>
                <w:rFonts w:ascii="宋体" w:eastAsia="宋体" w:hAnsi="宋体" w:cs="宋体" w:hint="eastAsia"/>
                <w:color w:val="000000"/>
                <w:szCs w:val="21"/>
              </w:rPr>
              <w:t>3.保险公司要严格按照服务计划开展工作，并对检查的真实性负法律责任。对检查发现的生产安全事故隐患及时告知参保单位并配合落实整改；对存在重大事故隐患拒不整改的，</w:t>
            </w:r>
            <w:proofErr w:type="gramStart"/>
            <w:r w:rsidRPr="0053128B">
              <w:rPr>
                <w:rFonts w:ascii="宋体" w:eastAsia="宋体" w:hAnsi="宋体" w:cs="宋体" w:hint="eastAsia"/>
                <w:color w:val="000000"/>
                <w:szCs w:val="21"/>
              </w:rPr>
              <w:t>应第一时间</w:t>
            </w:r>
            <w:proofErr w:type="gramEnd"/>
            <w:r w:rsidRPr="0053128B">
              <w:rPr>
                <w:rFonts w:ascii="宋体" w:eastAsia="宋体" w:hAnsi="宋体" w:cs="宋体" w:hint="eastAsia"/>
                <w:color w:val="000000"/>
                <w:szCs w:val="21"/>
              </w:rPr>
              <w:t>报告建设行政主管部门或安全监督机构。</w:t>
            </w:r>
          </w:p>
          <w:p w:rsidR="00951670" w:rsidRPr="0053128B" w:rsidRDefault="00F76D8D">
            <w:pPr>
              <w:rPr>
                <w:rFonts w:ascii="宋体" w:eastAsia="宋体" w:hAnsi="宋体" w:cs="宋体"/>
                <w:color w:val="000000"/>
                <w:szCs w:val="21"/>
              </w:rPr>
            </w:pPr>
            <w:r w:rsidRPr="0053128B">
              <w:rPr>
                <w:rFonts w:ascii="宋体" w:eastAsia="宋体" w:hAnsi="宋体" w:cs="宋体" w:hint="eastAsia"/>
                <w:color w:val="000000"/>
                <w:szCs w:val="21"/>
              </w:rPr>
              <w:t>4.保险公司要建立安全生产专家库，定期组织专家或有相应资质的第三</w:t>
            </w:r>
            <w:proofErr w:type="gramStart"/>
            <w:r w:rsidRPr="0053128B">
              <w:rPr>
                <w:rFonts w:ascii="宋体" w:eastAsia="宋体" w:hAnsi="宋体" w:cs="宋体" w:hint="eastAsia"/>
                <w:color w:val="000000"/>
                <w:szCs w:val="21"/>
              </w:rPr>
              <w:t>方专业</w:t>
            </w:r>
            <w:proofErr w:type="gramEnd"/>
            <w:r w:rsidRPr="0053128B">
              <w:rPr>
                <w:rFonts w:ascii="宋体" w:eastAsia="宋体" w:hAnsi="宋体" w:cs="宋体" w:hint="eastAsia"/>
                <w:color w:val="000000"/>
                <w:szCs w:val="21"/>
              </w:rPr>
              <w:t>机构对投保工程进行安全风险评估，开展隐患排查治理，要在保险合同中明确服务项目及频次，其中，建筑起重机械、高大支模架、深基坑、脚手架、生活区消防安全等应作为必查项目，原则上每半年不少于1次，安全培训教育或应急救援演练每年至少举办1次。每年至少应当对投保工程开展2次安全生产风险分析，及时向参保单位提供灾害性天气、事故预防等的预警信息。</w:t>
            </w:r>
          </w:p>
          <w:p w:rsidR="00951670" w:rsidRPr="0053128B" w:rsidRDefault="00F76D8D">
            <w:pPr>
              <w:rPr>
                <w:rFonts w:ascii="宋体" w:eastAsia="宋体" w:hAnsi="宋体" w:cs="宋体"/>
                <w:color w:val="000000"/>
                <w:szCs w:val="21"/>
              </w:rPr>
            </w:pPr>
            <w:r w:rsidRPr="0053128B">
              <w:rPr>
                <w:rFonts w:ascii="宋体" w:eastAsia="宋体" w:hAnsi="宋体" w:cs="宋体" w:hint="eastAsia"/>
                <w:color w:val="000000"/>
                <w:szCs w:val="21"/>
              </w:rPr>
              <w:t>5.保险公司要严格执行365天、24小时的全天候接报案制度，及时做好出险理赔服务。建立落实快速理赔机制和预付赔偿保险金制度，对于保险责任明确的生产安全事故，承保机构要及时支付赔款，遇到紧急情况时要从提前预付赔偿保险金。</w:t>
            </w:r>
          </w:p>
          <w:p w:rsidR="00951670" w:rsidRPr="0053128B" w:rsidRDefault="00F76D8D">
            <w:pPr>
              <w:rPr>
                <w:rFonts w:ascii="宋体" w:eastAsia="宋体" w:hAnsi="宋体" w:cs="宋体"/>
                <w:color w:val="000000"/>
                <w:szCs w:val="21"/>
              </w:rPr>
            </w:pPr>
            <w:r w:rsidRPr="0053128B">
              <w:rPr>
                <w:rFonts w:ascii="宋体" w:eastAsia="宋体" w:hAnsi="宋体" w:cs="宋体" w:hint="eastAsia"/>
                <w:color w:val="000000"/>
                <w:szCs w:val="21"/>
              </w:rPr>
              <w:t>6.保险公司要加强科技信息运用，研究打造工地智慧服务系统，实现精准服务。</w:t>
            </w:r>
          </w:p>
        </w:tc>
      </w:tr>
      <w:tr w:rsidR="00951670" w:rsidRPr="0053128B" w:rsidTr="007212E4">
        <w:trPr>
          <w:trHeight w:val="3543"/>
        </w:trPr>
        <w:tc>
          <w:tcPr>
            <w:tcW w:w="1181" w:type="dxa"/>
            <w:tcBorders>
              <w:top w:val="single" w:sz="12" w:space="0" w:color="auto"/>
              <w:left w:val="single" w:sz="12" w:space="0" w:color="auto"/>
              <w:bottom w:val="single" w:sz="4" w:space="0" w:color="000000"/>
            </w:tcBorders>
            <w:shd w:val="clear" w:color="auto" w:fill="auto"/>
            <w:vAlign w:val="center"/>
          </w:tcPr>
          <w:p w:rsidR="00951670" w:rsidRPr="0053128B" w:rsidRDefault="00F76D8D">
            <w:pPr>
              <w:widowControl/>
              <w:jc w:val="center"/>
              <w:textAlignment w:val="center"/>
              <w:rPr>
                <w:rFonts w:ascii="宋体" w:eastAsia="宋体" w:hAnsi="宋体" w:cs="宋体"/>
                <w:b/>
                <w:color w:val="000000"/>
                <w:szCs w:val="21"/>
              </w:rPr>
            </w:pPr>
            <w:r w:rsidRPr="0053128B">
              <w:rPr>
                <w:rFonts w:ascii="宋体" w:eastAsia="宋体" w:hAnsi="宋体" w:cs="宋体" w:hint="eastAsia"/>
                <w:b/>
                <w:color w:val="000000"/>
                <w:kern w:val="0"/>
                <w:szCs w:val="21"/>
                <w:lang w:bidi="ar"/>
              </w:rPr>
              <w:lastRenderedPageBreak/>
              <w:t>民用爆炸物品</w:t>
            </w:r>
          </w:p>
        </w:tc>
        <w:tc>
          <w:tcPr>
            <w:tcW w:w="7262" w:type="dxa"/>
            <w:tcBorders>
              <w:top w:val="single" w:sz="12" w:space="0" w:color="auto"/>
              <w:left w:val="single" w:sz="4" w:space="0" w:color="000000"/>
              <w:bottom w:val="single" w:sz="4" w:space="0" w:color="000000"/>
              <w:right w:val="single" w:sz="12" w:space="0" w:color="auto"/>
            </w:tcBorders>
            <w:shd w:val="clear" w:color="auto" w:fill="auto"/>
            <w:vAlign w:val="center"/>
          </w:tcPr>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1.深入了解企业所属行业领域特点、安全管理基础、危险源分布及重点管控环节等信息，及时为企业提供安全风险辨识、评估和安全评价。</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2.帮助企业建立和完善安全管理体系、安全规章制度，并对体系和制度的有效性进行评审，帮助企业持续提高安全管理水平。</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3.定期对企业开展安全生产和岗位安全教育培训，含企业关键工序操作人员和特种作业人员的安全技能培训、民用爆炸物品专用设备维修人员的维修技能培训。</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4.协助参与企业综合应急演练和专项应急演练的方案制定、评审、实施及效果评估，并出具评估意见。</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szCs w:val="21"/>
              </w:rPr>
              <w:t>5.需聘请资深民</w:t>
            </w:r>
            <w:proofErr w:type="gramStart"/>
            <w:r w:rsidRPr="0053128B">
              <w:rPr>
                <w:rFonts w:ascii="宋体" w:eastAsia="宋体" w:hAnsi="宋体" w:cs="宋体" w:hint="eastAsia"/>
                <w:color w:val="000000"/>
                <w:szCs w:val="21"/>
              </w:rPr>
              <w:t>爆专家</w:t>
            </w:r>
            <w:proofErr w:type="gramEnd"/>
            <w:r w:rsidRPr="0053128B">
              <w:rPr>
                <w:rFonts w:ascii="宋体" w:eastAsia="宋体" w:hAnsi="宋体" w:cs="宋体" w:hint="eastAsia"/>
                <w:color w:val="000000"/>
                <w:szCs w:val="21"/>
              </w:rPr>
              <w:t>团队，为企业提供安全、技术、风险管控等方面的指导，定期对企业安全生产进行检查，对检查不符合项整改情况进行实地验收确认，对安全隐患进行闭环整治。</w:t>
            </w:r>
          </w:p>
        </w:tc>
      </w:tr>
      <w:tr w:rsidR="00951670" w:rsidRPr="0053128B" w:rsidTr="007212E4">
        <w:trPr>
          <w:trHeight w:val="1080"/>
        </w:trPr>
        <w:tc>
          <w:tcPr>
            <w:tcW w:w="1181" w:type="dxa"/>
            <w:tcBorders>
              <w:top w:val="single" w:sz="4" w:space="0" w:color="000000"/>
              <w:left w:val="single" w:sz="12" w:space="0" w:color="auto"/>
              <w:bottom w:val="single" w:sz="4" w:space="0" w:color="000000"/>
            </w:tcBorders>
            <w:shd w:val="clear" w:color="auto" w:fill="auto"/>
            <w:vAlign w:val="center"/>
          </w:tcPr>
          <w:p w:rsidR="00951670" w:rsidRPr="0053128B" w:rsidRDefault="00F76D8D">
            <w:pPr>
              <w:widowControl/>
              <w:jc w:val="center"/>
              <w:textAlignment w:val="center"/>
              <w:rPr>
                <w:rFonts w:ascii="宋体" w:eastAsia="宋体" w:hAnsi="宋体" w:cs="宋体"/>
                <w:b/>
                <w:color w:val="000000"/>
                <w:szCs w:val="21"/>
              </w:rPr>
            </w:pPr>
            <w:r w:rsidRPr="0053128B">
              <w:rPr>
                <w:rFonts w:ascii="宋体" w:eastAsia="宋体" w:hAnsi="宋体" w:cs="宋体" w:hint="eastAsia"/>
                <w:b/>
                <w:color w:val="000000"/>
                <w:kern w:val="0"/>
                <w:szCs w:val="21"/>
                <w:lang w:bidi="ar"/>
              </w:rPr>
              <w:t>金属冶炼</w:t>
            </w:r>
          </w:p>
        </w:tc>
        <w:tc>
          <w:tcPr>
            <w:tcW w:w="7262" w:type="dxa"/>
            <w:tcBorders>
              <w:top w:val="single" w:sz="4" w:space="0" w:color="000000"/>
              <w:left w:val="single" w:sz="4" w:space="0" w:color="000000"/>
              <w:bottom w:val="single" w:sz="4" w:space="0" w:color="000000"/>
              <w:right w:val="single" w:sz="12" w:space="0" w:color="auto"/>
            </w:tcBorders>
            <w:shd w:val="clear" w:color="auto" w:fill="auto"/>
            <w:vAlign w:val="center"/>
          </w:tcPr>
          <w:p w:rsidR="00951670" w:rsidRPr="0053128B" w:rsidRDefault="00F76D8D">
            <w:pPr>
              <w:widowControl/>
              <w:jc w:val="left"/>
              <w:textAlignment w:val="center"/>
              <w:rPr>
                <w:rFonts w:ascii="宋体" w:eastAsia="宋体" w:hAnsi="宋体" w:cs="宋体"/>
                <w:color w:val="000000"/>
                <w:kern w:val="0"/>
                <w:szCs w:val="21"/>
                <w:lang w:bidi="ar"/>
              </w:rPr>
            </w:pPr>
            <w:r w:rsidRPr="0053128B">
              <w:rPr>
                <w:rFonts w:ascii="宋体" w:eastAsia="宋体" w:hAnsi="宋体" w:cs="宋体" w:hint="eastAsia"/>
                <w:color w:val="000000"/>
                <w:kern w:val="0"/>
                <w:szCs w:val="21"/>
                <w:lang w:bidi="ar"/>
              </w:rPr>
              <w:t>1.重点帮助企业防范化解重大安全风险，消除重大事故隐患，要对照原国家安监总局印发《工贸行业重大生产安全事故隐患判定标准（2017版）》，在服务企业过程中，排查、发现重大事故隐患，协助企业建立安全风险防控体系、制定隐患整改方案，并将重大事故隐患清单及时反馈给当地应急管理部门，由当地应急管理部门督促企业落实事故隐患整改工作。</w:t>
            </w:r>
          </w:p>
          <w:p w:rsidR="00951670" w:rsidRPr="0053128B" w:rsidRDefault="00F76D8D">
            <w:pPr>
              <w:widowControl/>
              <w:jc w:val="left"/>
              <w:textAlignment w:val="center"/>
              <w:rPr>
                <w:rFonts w:ascii="宋体" w:eastAsia="宋体" w:hAnsi="宋体" w:cs="宋体"/>
                <w:color w:val="000000"/>
                <w:kern w:val="0"/>
                <w:szCs w:val="21"/>
                <w:lang w:bidi="ar"/>
              </w:rPr>
            </w:pPr>
            <w:r w:rsidRPr="0053128B">
              <w:rPr>
                <w:rFonts w:ascii="宋体" w:eastAsia="宋体" w:hAnsi="宋体" w:cs="宋体" w:hint="eastAsia"/>
                <w:color w:val="000000"/>
                <w:kern w:val="0"/>
                <w:szCs w:val="21"/>
                <w:lang w:bidi="ar"/>
              </w:rPr>
              <w:t>2.每年组织专家至少开展一次安全检查，形成安全检查报告，检查反映的企业安全状况与下一年保费适当挂钩。</w:t>
            </w:r>
          </w:p>
        </w:tc>
      </w:tr>
      <w:tr w:rsidR="00951670" w:rsidRPr="0053128B" w:rsidTr="007212E4">
        <w:trPr>
          <w:trHeight w:val="2820"/>
        </w:trPr>
        <w:tc>
          <w:tcPr>
            <w:tcW w:w="1181" w:type="dxa"/>
            <w:tcBorders>
              <w:top w:val="single" w:sz="4" w:space="0" w:color="000000"/>
              <w:left w:val="single" w:sz="12" w:space="0" w:color="auto"/>
              <w:bottom w:val="single" w:sz="12" w:space="0" w:color="auto"/>
            </w:tcBorders>
            <w:shd w:val="clear" w:color="auto" w:fill="auto"/>
            <w:vAlign w:val="center"/>
          </w:tcPr>
          <w:p w:rsidR="00951670" w:rsidRPr="0053128B" w:rsidRDefault="00F76D8D">
            <w:pPr>
              <w:widowControl/>
              <w:jc w:val="center"/>
              <w:textAlignment w:val="center"/>
              <w:rPr>
                <w:rFonts w:ascii="宋体" w:eastAsia="宋体" w:hAnsi="宋体" w:cs="宋体"/>
                <w:b/>
                <w:color w:val="000000"/>
                <w:szCs w:val="21"/>
              </w:rPr>
            </w:pPr>
            <w:r w:rsidRPr="0053128B">
              <w:rPr>
                <w:rFonts w:ascii="宋体" w:eastAsia="宋体" w:hAnsi="宋体" w:cs="宋体" w:hint="eastAsia"/>
                <w:b/>
                <w:color w:val="000000"/>
                <w:kern w:val="0"/>
                <w:szCs w:val="21"/>
                <w:lang w:bidi="ar"/>
              </w:rPr>
              <w:t>渔业生产</w:t>
            </w:r>
          </w:p>
        </w:tc>
        <w:tc>
          <w:tcPr>
            <w:tcW w:w="7262" w:type="dxa"/>
            <w:tcBorders>
              <w:top w:val="single" w:sz="4" w:space="0" w:color="000000"/>
              <w:left w:val="single" w:sz="4" w:space="0" w:color="000000"/>
              <w:bottom w:val="single" w:sz="12" w:space="0" w:color="auto"/>
              <w:right w:val="single" w:sz="12" w:space="0" w:color="auto"/>
            </w:tcBorders>
            <w:shd w:val="clear" w:color="auto" w:fill="auto"/>
            <w:vAlign w:val="center"/>
          </w:tcPr>
          <w:p w:rsidR="00951670" w:rsidRPr="0053128B" w:rsidRDefault="00F76D8D">
            <w:pPr>
              <w:widowControl/>
              <w:jc w:val="left"/>
              <w:textAlignment w:val="center"/>
              <w:rPr>
                <w:rFonts w:ascii="宋体" w:eastAsia="宋体" w:hAnsi="宋体" w:cs="宋体"/>
                <w:color w:val="000000"/>
                <w:kern w:val="0"/>
                <w:szCs w:val="21"/>
                <w:lang w:bidi="ar"/>
              </w:rPr>
            </w:pPr>
            <w:r w:rsidRPr="0053128B">
              <w:rPr>
                <w:rFonts w:ascii="宋体" w:eastAsia="宋体" w:hAnsi="宋体" w:cs="宋体" w:hint="eastAsia"/>
                <w:color w:val="000000"/>
                <w:kern w:val="0"/>
                <w:szCs w:val="21"/>
                <w:lang w:bidi="ar"/>
              </w:rPr>
              <w:t>1.全面了解被保险企业的基本概况、安全生产现状、安全管理体制和机制运行情况、所属行业领域特点、安全薄弱点、重点管控环节等信息，对安全管理工作</w:t>
            </w:r>
            <w:proofErr w:type="gramStart"/>
            <w:r w:rsidRPr="0053128B">
              <w:rPr>
                <w:rFonts w:ascii="宋体" w:eastAsia="宋体" w:hAnsi="宋体" w:cs="宋体" w:hint="eastAsia"/>
                <w:color w:val="000000"/>
                <w:kern w:val="0"/>
                <w:szCs w:val="21"/>
                <w:lang w:bidi="ar"/>
              </w:rPr>
              <w:t>作出</w:t>
            </w:r>
            <w:proofErr w:type="gramEnd"/>
            <w:r w:rsidRPr="0053128B">
              <w:rPr>
                <w:rFonts w:ascii="宋体" w:eastAsia="宋体" w:hAnsi="宋体" w:cs="宋体" w:hint="eastAsia"/>
                <w:color w:val="000000"/>
                <w:kern w:val="0"/>
                <w:szCs w:val="21"/>
                <w:lang w:bidi="ar"/>
              </w:rPr>
              <w:t>正确评估，为企业发展建设护航，奠定企业安全健康发展的坚实基础。</w:t>
            </w:r>
          </w:p>
          <w:p w:rsidR="00951670" w:rsidRPr="0053128B" w:rsidRDefault="00F76D8D">
            <w:pPr>
              <w:widowControl/>
              <w:jc w:val="left"/>
              <w:textAlignment w:val="center"/>
              <w:rPr>
                <w:rFonts w:ascii="宋体" w:eastAsia="宋体" w:hAnsi="宋体" w:cs="宋体"/>
                <w:color w:val="000000"/>
                <w:kern w:val="0"/>
                <w:szCs w:val="21"/>
                <w:lang w:bidi="ar"/>
              </w:rPr>
            </w:pPr>
            <w:r w:rsidRPr="0053128B">
              <w:rPr>
                <w:rFonts w:ascii="宋体" w:eastAsia="宋体" w:hAnsi="宋体" w:cs="宋体" w:hint="eastAsia"/>
                <w:color w:val="000000"/>
                <w:kern w:val="0"/>
                <w:szCs w:val="21"/>
                <w:lang w:bidi="ar"/>
              </w:rPr>
              <w:t>2.积极配合各级渔业主管部门及渔业基层管理组织做好安全生产宣传、培训等工作，督促广大船东和从业人员遵守渔业安全生产管理有关规定，提高关爱生命、预防事故的</w:t>
            </w:r>
            <w:proofErr w:type="gramStart"/>
            <w:r w:rsidRPr="0053128B">
              <w:rPr>
                <w:rFonts w:ascii="宋体" w:eastAsia="宋体" w:hAnsi="宋体" w:cs="宋体" w:hint="eastAsia"/>
                <w:color w:val="000000"/>
                <w:kern w:val="0"/>
                <w:szCs w:val="21"/>
                <w:lang w:bidi="ar"/>
              </w:rPr>
              <w:t>安全认识</w:t>
            </w:r>
            <w:proofErr w:type="gramEnd"/>
            <w:r w:rsidRPr="0053128B">
              <w:rPr>
                <w:rFonts w:ascii="宋体" w:eastAsia="宋体" w:hAnsi="宋体" w:cs="宋体" w:hint="eastAsia"/>
                <w:color w:val="000000"/>
                <w:kern w:val="0"/>
                <w:szCs w:val="21"/>
                <w:lang w:bidi="ar"/>
              </w:rPr>
              <w:t>和技能，保障行业领域内人员的生命和财产安全。</w:t>
            </w:r>
            <w:r w:rsidRPr="0053128B">
              <w:rPr>
                <w:rFonts w:ascii="宋体" w:eastAsia="宋体" w:hAnsi="宋体" w:cs="宋体" w:hint="eastAsia"/>
                <w:color w:val="000000"/>
                <w:kern w:val="0"/>
                <w:szCs w:val="21"/>
                <w:lang w:bidi="ar"/>
              </w:rPr>
              <w:br/>
              <w:t>3.每个保险年度对企业至少开展一次安全生产风险排查，提出风险管控建议，提醒督促投保单位落实风险管控措施。</w:t>
            </w:r>
            <w:r w:rsidRPr="0053128B">
              <w:rPr>
                <w:rFonts w:ascii="宋体" w:eastAsia="宋体" w:hAnsi="宋体" w:cs="宋体" w:hint="eastAsia"/>
                <w:color w:val="000000"/>
                <w:kern w:val="0"/>
                <w:szCs w:val="21"/>
                <w:lang w:bidi="ar"/>
              </w:rPr>
              <w:br/>
              <w:t>4.严格落实各项服务内容，积极协助各级渔业安全管理部门指导企业做好安全生产和岗位安全教育培训，配合企业安全事故应急预案的编制和应急救援演练，加强安全生产科技的推广力度，从而提高企业事故预防水平，确保企业安全发展。</w:t>
            </w:r>
            <w:r w:rsidRPr="0053128B">
              <w:rPr>
                <w:rFonts w:ascii="宋体" w:eastAsia="宋体" w:hAnsi="宋体" w:cs="宋体" w:hint="eastAsia"/>
                <w:color w:val="000000"/>
                <w:kern w:val="0"/>
                <w:szCs w:val="21"/>
                <w:lang w:bidi="ar"/>
              </w:rPr>
              <w:br/>
              <w:t>5.及时向企业提供渔业安全生产管理、防灾防损等咨询服务</w:t>
            </w:r>
          </w:p>
          <w:p w:rsidR="00951670" w:rsidRPr="0053128B" w:rsidRDefault="00F76D8D">
            <w:pPr>
              <w:widowControl/>
              <w:jc w:val="left"/>
              <w:textAlignment w:val="center"/>
              <w:rPr>
                <w:rFonts w:ascii="宋体" w:eastAsia="宋体" w:hAnsi="宋体" w:cs="宋体"/>
                <w:color w:val="000000"/>
                <w:szCs w:val="21"/>
              </w:rPr>
            </w:pPr>
            <w:r w:rsidRPr="0053128B">
              <w:rPr>
                <w:rFonts w:ascii="宋体" w:eastAsia="宋体" w:hAnsi="宋体" w:cs="宋体" w:hint="eastAsia"/>
                <w:color w:val="000000"/>
                <w:kern w:val="0"/>
                <w:szCs w:val="21"/>
                <w:lang w:bidi="ar"/>
              </w:rPr>
              <w:t>6.配合企业开展安全考核、先进表彰等活动，树立先进典型。</w:t>
            </w:r>
          </w:p>
        </w:tc>
      </w:tr>
    </w:tbl>
    <w:p w:rsidR="00951670" w:rsidRDefault="00951670">
      <w:pPr>
        <w:rPr>
          <w:rFonts w:asciiTheme="minorEastAsia" w:hAnsiTheme="minorEastAsia"/>
          <w:sz w:val="32"/>
          <w:szCs w:val="32"/>
        </w:rPr>
      </w:pPr>
    </w:p>
    <w:p w:rsidR="001221EB" w:rsidRDefault="001221EB">
      <w:pPr>
        <w:rPr>
          <w:rFonts w:asciiTheme="minorEastAsia" w:hAnsiTheme="minorEastAsia"/>
          <w:sz w:val="32"/>
          <w:szCs w:val="32"/>
        </w:rPr>
      </w:pPr>
    </w:p>
    <w:p w:rsidR="001221EB" w:rsidRDefault="001221EB">
      <w:pPr>
        <w:rPr>
          <w:rFonts w:asciiTheme="minorEastAsia" w:hAnsiTheme="minorEastAsia"/>
          <w:sz w:val="32"/>
          <w:szCs w:val="32"/>
        </w:rPr>
      </w:pPr>
    </w:p>
    <w:p w:rsidR="001221EB" w:rsidRDefault="001221EB">
      <w:pPr>
        <w:rPr>
          <w:rFonts w:asciiTheme="minorEastAsia" w:hAnsiTheme="minorEastAsia"/>
          <w:sz w:val="32"/>
          <w:szCs w:val="32"/>
        </w:rPr>
      </w:pPr>
    </w:p>
    <w:p w:rsidR="001221EB" w:rsidRDefault="001221EB">
      <w:pPr>
        <w:rPr>
          <w:rFonts w:asciiTheme="minorEastAsia" w:hAnsiTheme="minorEastAsia"/>
          <w:sz w:val="32"/>
          <w:szCs w:val="32"/>
        </w:rPr>
      </w:pPr>
      <w:bookmarkStart w:id="0" w:name="_GoBack"/>
      <w:bookmarkEnd w:id="0"/>
    </w:p>
    <w:sectPr w:rsidR="001221EB" w:rsidSect="004831B3">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31" w:rsidRDefault="00842131" w:rsidP="00CE1E5D">
      <w:r>
        <w:separator/>
      </w:r>
    </w:p>
  </w:endnote>
  <w:endnote w:type="continuationSeparator" w:id="0">
    <w:p w:rsidR="00842131" w:rsidRDefault="00842131" w:rsidP="00CE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46744"/>
      <w:docPartObj>
        <w:docPartGallery w:val="Page Numbers (Bottom of Page)"/>
        <w:docPartUnique/>
      </w:docPartObj>
    </w:sdtPr>
    <w:sdtEndPr/>
    <w:sdtContent>
      <w:p w:rsidR="00CE1E5D" w:rsidRDefault="00CE1E5D">
        <w:pPr>
          <w:pStyle w:val="a3"/>
          <w:jc w:val="center"/>
        </w:pPr>
        <w:r>
          <w:fldChar w:fldCharType="begin"/>
        </w:r>
        <w:r>
          <w:instrText>PAGE   \* MERGEFORMAT</w:instrText>
        </w:r>
        <w:r>
          <w:fldChar w:fldCharType="separate"/>
        </w:r>
        <w:r w:rsidR="003A3F32" w:rsidRPr="003A3F32">
          <w:rPr>
            <w:noProof/>
            <w:lang w:val="zh-CN"/>
          </w:rPr>
          <w:t>3</w:t>
        </w:r>
        <w:r>
          <w:fldChar w:fldCharType="end"/>
        </w:r>
      </w:p>
    </w:sdtContent>
  </w:sdt>
  <w:p w:rsidR="00CE1E5D" w:rsidRDefault="00CE1E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31" w:rsidRDefault="00842131" w:rsidP="00CE1E5D">
      <w:r>
        <w:separator/>
      </w:r>
    </w:p>
  </w:footnote>
  <w:footnote w:type="continuationSeparator" w:id="0">
    <w:p w:rsidR="00842131" w:rsidRDefault="00842131" w:rsidP="00CE1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DD"/>
    <w:rsid w:val="000356BF"/>
    <w:rsid w:val="000522B3"/>
    <w:rsid w:val="00052DD2"/>
    <w:rsid w:val="0006271C"/>
    <w:rsid w:val="00075AD6"/>
    <w:rsid w:val="00084494"/>
    <w:rsid w:val="000C4CA2"/>
    <w:rsid w:val="000D276E"/>
    <w:rsid w:val="000D3B73"/>
    <w:rsid w:val="000F38C4"/>
    <w:rsid w:val="000F39CD"/>
    <w:rsid w:val="001221EB"/>
    <w:rsid w:val="001401E8"/>
    <w:rsid w:val="00157857"/>
    <w:rsid w:val="00171ADA"/>
    <w:rsid w:val="00172A27"/>
    <w:rsid w:val="001A18FA"/>
    <w:rsid w:val="001A7D2A"/>
    <w:rsid w:val="001D0B92"/>
    <w:rsid w:val="001E0D86"/>
    <w:rsid w:val="001E1EB5"/>
    <w:rsid w:val="001F7944"/>
    <w:rsid w:val="00203243"/>
    <w:rsid w:val="0020436B"/>
    <w:rsid w:val="0021239C"/>
    <w:rsid w:val="00212625"/>
    <w:rsid w:val="002276C2"/>
    <w:rsid w:val="00240F68"/>
    <w:rsid w:val="00246EAD"/>
    <w:rsid w:val="00252CE9"/>
    <w:rsid w:val="00277A5C"/>
    <w:rsid w:val="00291089"/>
    <w:rsid w:val="002946E3"/>
    <w:rsid w:val="002D5B04"/>
    <w:rsid w:val="002E1EAA"/>
    <w:rsid w:val="002F21B6"/>
    <w:rsid w:val="00327A66"/>
    <w:rsid w:val="003312D4"/>
    <w:rsid w:val="00331824"/>
    <w:rsid w:val="00343E21"/>
    <w:rsid w:val="003739B8"/>
    <w:rsid w:val="003762F5"/>
    <w:rsid w:val="00384329"/>
    <w:rsid w:val="003A3F32"/>
    <w:rsid w:val="003B7E80"/>
    <w:rsid w:val="003D1DB5"/>
    <w:rsid w:val="003F0C9F"/>
    <w:rsid w:val="003F1CC2"/>
    <w:rsid w:val="003F7BF0"/>
    <w:rsid w:val="00424DE1"/>
    <w:rsid w:val="00454106"/>
    <w:rsid w:val="00460D72"/>
    <w:rsid w:val="0046350B"/>
    <w:rsid w:val="0046508B"/>
    <w:rsid w:val="004673F2"/>
    <w:rsid w:val="004831B3"/>
    <w:rsid w:val="004953A5"/>
    <w:rsid w:val="004E6632"/>
    <w:rsid w:val="005005CC"/>
    <w:rsid w:val="00520FAA"/>
    <w:rsid w:val="00524F3A"/>
    <w:rsid w:val="0053128B"/>
    <w:rsid w:val="005356D1"/>
    <w:rsid w:val="00535DCD"/>
    <w:rsid w:val="00577C08"/>
    <w:rsid w:val="00581712"/>
    <w:rsid w:val="005908F2"/>
    <w:rsid w:val="005B0B9D"/>
    <w:rsid w:val="005C2F9D"/>
    <w:rsid w:val="005E6D60"/>
    <w:rsid w:val="005F3FA5"/>
    <w:rsid w:val="005F47AA"/>
    <w:rsid w:val="00610425"/>
    <w:rsid w:val="006272C8"/>
    <w:rsid w:val="0063352D"/>
    <w:rsid w:val="00643C37"/>
    <w:rsid w:val="00653473"/>
    <w:rsid w:val="00655437"/>
    <w:rsid w:val="00680897"/>
    <w:rsid w:val="006B5CA3"/>
    <w:rsid w:val="006D135D"/>
    <w:rsid w:val="006E7FA8"/>
    <w:rsid w:val="006F4D57"/>
    <w:rsid w:val="006F71BB"/>
    <w:rsid w:val="007136A2"/>
    <w:rsid w:val="007212E4"/>
    <w:rsid w:val="00723BA8"/>
    <w:rsid w:val="00735A6A"/>
    <w:rsid w:val="00776D3E"/>
    <w:rsid w:val="00780F2D"/>
    <w:rsid w:val="0078196D"/>
    <w:rsid w:val="007B0C8B"/>
    <w:rsid w:val="007B4C01"/>
    <w:rsid w:val="007C3595"/>
    <w:rsid w:val="007E5E26"/>
    <w:rsid w:val="00807B14"/>
    <w:rsid w:val="0081261E"/>
    <w:rsid w:val="00822B40"/>
    <w:rsid w:val="00842131"/>
    <w:rsid w:val="00844CC6"/>
    <w:rsid w:val="008468FC"/>
    <w:rsid w:val="008D5023"/>
    <w:rsid w:val="008D5188"/>
    <w:rsid w:val="008D6B8C"/>
    <w:rsid w:val="00900632"/>
    <w:rsid w:val="00900F77"/>
    <w:rsid w:val="00951670"/>
    <w:rsid w:val="00951C36"/>
    <w:rsid w:val="009638B2"/>
    <w:rsid w:val="009669A5"/>
    <w:rsid w:val="0097035F"/>
    <w:rsid w:val="00976437"/>
    <w:rsid w:val="009A3D6E"/>
    <w:rsid w:val="009B6ADA"/>
    <w:rsid w:val="009D4D35"/>
    <w:rsid w:val="009F67A4"/>
    <w:rsid w:val="00A055A6"/>
    <w:rsid w:val="00A17F46"/>
    <w:rsid w:val="00A347BF"/>
    <w:rsid w:val="00A515EC"/>
    <w:rsid w:val="00A84077"/>
    <w:rsid w:val="00A871E2"/>
    <w:rsid w:val="00AB5FB2"/>
    <w:rsid w:val="00AB7019"/>
    <w:rsid w:val="00AD627B"/>
    <w:rsid w:val="00AF1DCE"/>
    <w:rsid w:val="00AF5ECE"/>
    <w:rsid w:val="00B30ACF"/>
    <w:rsid w:val="00B415DF"/>
    <w:rsid w:val="00B6659A"/>
    <w:rsid w:val="00B9656C"/>
    <w:rsid w:val="00B97EF8"/>
    <w:rsid w:val="00BA1118"/>
    <w:rsid w:val="00BA1681"/>
    <w:rsid w:val="00BA7AAB"/>
    <w:rsid w:val="00BC1EF2"/>
    <w:rsid w:val="00BF305F"/>
    <w:rsid w:val="00C50CBF"/>
    <w:rsid w:val="00C75328"/>
    <w:rsid w:val="00C9449D"/>
    <w:rsid w:val="00CB0FCF"/>
    <w:rsid w:val="00CC48DA"/>
    <w:rsid w:val="00CE1E5D"/>
    <w:rsid w:val="00CE5DCF"/>
    <w:rsid w:val="00CF7F59"/>
    <w:rsid w:val="00D13048"/>
    <w:rsid w:val="00D17188"/>
    <w:rsid w:val="00D437FA"/>
    <w:rsid w:val="00D4438F"/>
    <w:rsid w:val="00D70A98"/>
    <w:rsid w:val="00DB0394"/>
    <w:rsid w:val="00DB7FCB"/>
    <w:rsid w:val="00DC1222"/>
    <w:rsid w:val="00DD021B"/>
    <w:rsid w:val="00DD248B"/>
    <w:rsid w:val="00E052FE"/>
    <w:rsid w:val="00E30D84"/>
    <w:rsid w:val="00E34CC4"/>
    <w:rsid w:val="00E50802"/>
    <w:rsid w:val="00E515F3"/>
    <w:rsid w:val="00E52AF1"/>
    <w:rsid w:val="00E56E92"/>
    <w:rsid w:val="00E752ED"/>
    <w:rsid w:val="00E94E38"/>
    <w:rsid w:val="00E953EE"/>
    <w:rsid w:val="00EA2C48"/>
    <w:rsid w:val="00EA550C"/>
    <w:rsid w:val="00EC1225"/>
    <w:rsid w:val="00EC3651"/>
    <w:rsid w:val="00EC70EC"/>
    <w:rsid w:val="00EE63A1"/>
    <w:rsid w:val="00EF2871"/>
    <w:rsid w:val="00F06865"/>
    <w:rsid w:val="00F13386"/>
    <w:rsid w:val="00F71B89"/>
    <w:rsid w:val="00F75B82"/>
    <w:rsid w:val="00F76D8D"/>
    <w:rsid w:val="00F8401B"/>
    <w:rsid w:val="00FA10B2"/>
    <w:rsid w:val="00FB7F05"/>
    <w:rsid w:val="00FC09ED"/>
    <w:rsid w:val="00FF78AA"/>
    <w:rsid w:val="05C9446E"/>
    <w:rsid w:val="06EC7315"/>
    <w:rsid w:val="075917B6"/>
    <w:rsid w:val="0BAD5F60"/>
    <w:rsid w:val="0BC16E13"/>
    <w:rsid w:val="0D522B60"/>
    <w:rsid w:val="10141666"/>
    <w:rsid w:val="10A0419E"/>
    <w:rsid w:val="11035D2D"/>
    <w:rsid w:val="13A640CD"/>
    <w:rsid w:val="13D532F5"/>
    <w:rsid w:val="14B65D8F"/>
    <w:rsid w:val="169C7722"/>
    <w:rsid w:val="16EA7DDE"/>
    <w:rsid w:val="181E75BA"/>
    <w:rsid w:val="19134C23"/>
    <w:rsid w:val="19B62FDE"/>
    <w:rsid w:val="19DC2F8F"/>
    <w:rsid w:val="1AB53D57"/>
    <w:rsid w:val="1B705C75"/>
    <w:rsid w:val="1C3F43B6"/>
    <w:rsid w:val="1E2E72A9"/>
    <w:rsid w:val="1EB60BBF"/>
    <w:rsid w:val="20DB59C0"/>
    <w:rsid w:val="21AF7113"/>
    <w:rsid w:val="225A747C"/>
    <w:rsid w:val="23F73620"/>
    <w:rsid w:val="255E5034"/>
    <w:rsid w:val="26D36FEF"/>
    <w:rsid w:val="29657541"/>
    <w:rsid w:val="29EF248B"/>
    <w:rsid w:val="30A170A6"/>
    <w:rsid w:val="3613000E"/>
    <w:rsid w:val="37836F45"/>
    <w:rsid w:val="37E01C91"/>
    <w:rsid w:val="381434EE"/>
    <w:rsid w:val="38E51623"/>
    <w:rsid w:val="3A245FA9"/>
    <w:rsid w:val="3A9F401E"/>
    <w:rsid w:val="3AD55666"/>
    <w:rsid w:val="3B9035D0"/>
    <w:rsid w:val="40727583"/>
    <w:rsid w:val="407447F2"/>
    <w:rsid w:val="43F62C9B"/>
    <w:rsid w:val="4684468A"/>
    <w:rsid w:val="47FF01B0"/>
    <w:rsid w:val="48031BEB"/>
    <w:rsid w:val="481B6537"/>
    <w:rsid w:val="4A3F524E"/>
    <w:rsid w:val="4B810CDA"/>
    <w:rsid w:val="4E4A19AE"/>
    <w:rsid w:val="4E910768"/>
    <w:rsid w:val="4F531E66"/>
    <w:rsid w:val="4F857BA8"/>
    <w:rsid w:val="518D7F64"/>
    <w:rsid w:val="51B05A78"/>
    <w:rsid w:val="553140D4"/>
    <w:rsid w:val="5A92274B"/>
    <w:rsid w:val="5D39391A"/>
    <w:rsid w:val="5E991131"/>
    <w:rsid w:val="63383BD6"/>
    <w:rsid w:val="63555D21"/>
    <w:rsid w:val="64F83129"/>
    <w:rsid w:val="6620725D"/>
    <w:rsid w:val="66887E18"/>
    <w:rsid w:val="67DF4E5F"/>
    <w:rsid w:val="69A55DCA"/>
    <w:rsid w:val="6A46784C"/>
    <w:rsid w:val="6B3C4817"/>
    <w:rsid w:val="6C0E1504"/>
    <w:rsid w:val="6D5E62B7"/>
    <w:rsid w:val="6F8119F2"/>
    <w:rsid w:val="73D17C4B"/>
    <w:rsid w:val="750F154D"/>
    <w:rsid w:val="77F3261C"/>
    <w:rsid w:val="77FC0BE7"/>
    <w:rsid w:val="785434FA"/>
    <w:rsid w:val="78CA612D"/>
    <w:rsid w:val="7CD30C7A"/>
    <w:rsid w:val="7FEF6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line="432" w:lineRule="auto"/>
      <w:jc w:val="left"/>
    </w:pPr>
    <w:rPr>
      <w:rFonts w:ascii="宋体" w:hAnsi="宋体" w:cs="宋体"/>
      <w:kern w:val="0"/>
      <w:sz w:val="24"/>
      <w:szCs w:val="24"/>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Pr>
      <w:rFonts w:eastAsiaTheme="minorEastAsia"/>
      <w:sz w:val="24"/>
      <w:szCs w:val="24"/>
    </w:rPr>
  </w:style>
  <w:style w:type="paragraph" w:styleId="a6">
    <w:name w:val="header"/>
    <w:basedOn w:val="a"/>
    <w:link w:val="Char0"/>
    <w:uiPriority w:val="99"/>
    <w:unhideWhenUsed/>
    <w:rsid w:val="00CE1E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E1E5D"/>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CE1E5D"/>
    <w:rPr>
      <w:rFonts w:asciiTheme="minorHAnsi" w:eastAsiaTheme="minorEastAsia" w:hAnsiTheme="minorHAnsi" w:cstheme="minorBidi"/>
      <w:kern w:val="2"/>
      <w:sz w:val="18"/>
      <w:szCs w:val="18"/>
    </w:rPr>
  </w:style>
  <w:style w:type="paragraph" w:customStyle="1" w:styleId="CharCharChar1Char">
    <w:name w:val="Char Char Char1 Char"/>
    <w:basedOn w:val="a"/>
    <w:rsid w:val="001221EB"/>
    <w:rPr>
      <w:rFonts w:ascii="Times New Roman" w:eastAsia="宋体" w:hAnsi="Times New Roman" w:cs="Times New Roman"/>
      <w:szCs w:val="24"/>
    </w:rPr>
  </w:style>
  <w:style w:type="paragraph" w:styleId="a7">
    <w:name w:val="Balloon Text"/>
    <w:basedOn w:val="a"/>
    <w:link w:val="Char1"/>
    <w:uiPriority w:val="99"/>
    <w:semiHidden/>
    <w:unhideWhenUsed/>
    <w:rsid w:val="004673F2"/>
    <w:rPr>
      <w:sz w:val="18"/>
      <w:szCs w:val="18"/>
    </w:rPr>
  </w:style>
  <w:style w:type="character" w:customStyle="1" w:styleId="Char1">
    <w:name w:val="批注框文本 Char"/>
    <w:basedOn w:val="a0"/>
    <w:link w:val="a7"/>
    <w:uiPriority w:val="99"/>
    <w:semiHidden/>
    <w:rsid w:val="004673F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line="432" w:lineRule="auto"/>
      <w:jc w:val="left"/>
    </w:pPr>
    <w:rPr>
      <w:rFonts w:ascii="宋体" w:hAnsi="宋体" w:cs="宋体"/>
      <w:kern w:val="0"/>
      <w:sz w:val="24"/>
      <w:szCs w:val="24"/>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Pr>
      <w:rFonts w:eastAsiaTheme="minorEastAsia"/>
      <w:sz w:val="24"/>
      <w:szCs w:val="24"/>
    </w:rPr>
  </w:style>
  <w:style w:type="paragraph" w:styleId="a6">
    <w:name w:val="header"/>
    <w:basedOn w:val="a"/>
    <w:link w:val="Char0"/>
    <w:uiPriority w:val="99"/>
    <w:unhideWhenUsed/>
    <w:rsid w:val="00CE1E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E1E5D"/>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CE1E5D"/>
    <w:rPr>
      <w:rFonts w:asciiTheme="minorHAnsi" w:eastAsiaTheme="minorEastAsia" w:hAnsiTheme="minorHAnsi" w:cstheme="minorBidi"/>
      <w:kern w:val="2"/>
      <w:sz w:val="18"/>
      <w:szCs w:val="18"/>
    </w:rPr>
  </w:style>
  <w:style w:type="paragraph" w:customStyle="1" w:styleId="CharCharChar1Char">
    <w:name w:val="Char Char Char1 Char"/>
    <w:basedOn w:val="a"/>
    <w:rsid w:val="001221EB"/>
    <w:rPr>
      <w:rFonts w:ascii="Times New Roman" w:eastAsia="宋体" w:hAnsi="Times New Roman" w:cs="Times New Roman"/>
      <w:szCs w:val="24"/>
    </w:rPr>
  </w:style>
  <w:style w:type="paragraph" w:styleId="a7">
    <w:name w:val="Balloon Text"/>
    <w:basedOn w:val="a"/>
    <w:link w:val="Char1"/>
    <w:uiPriority w:val="99"/>
    <w:semiHidden/>
    <w:unhideWhenUsed/>
    <w:rsid w:val="004673F2"/>
    <w:rPr>
      <w:sz w:val="18"/>
      <w:szCs w:val="18"/>
    </w:rPr>
  </w:style>
  <w:style w:type="character" w:customStyle="1" w:styleId="Char1">
    <w:name w:val="批注框文本 Char"/>
    <w:basedOn w:val="a0"/>
    <w:link w:val="a7"/>
    <w:uiPriority w:val="99"/>
    <w:semiHidden/>
    <w:rsid w:val="004673F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32254D-65A1-4AF1-BA01-71893B0D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2819</Characters>
  <Application>Microsoft Office Word</Application>
  <DocSecurity>0</DocSecurity>
  <Lines>23</Lines>
  <Paragraphs>6</Paragraphs>
  <ScaleCrop>false</ScaleCrop>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计慎忆</cp:lastModifiedBy>
  <cp:revision>3</cp:revision>
  <cp:lastPrinted>2019-12-10T09:37:00Z</cp:lastPrinted>
  <dcterms:created xsi:type="dcterms:W3CDTF">2020-01-17T09:39:00Z</dcterms:created>
  <dcterms:modified xsi:type="dcterms:W3CDTF">2020-01-17T09:40:00Z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